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الإذان للفائت من الصلوات-كتاب الأذان-سنن النسائي — رقم الحديث: 661 — الرقم الفرعي: 99 — الرقم الأصلي: 661</w:t>
        <w:br/>
      </w:r>
      <w:r>
        <w:rPr>
          <w:rtl w:val="1"/>
        </w:rPr>
        <w:t xml:space="preserve"> أخبرنا عمرو بن عليّ قال:حدثنا يحيى قال:حدثنا ابن أبي ذئب قال:حدثنا سعيد بن أبي سعيد عن عبد الرحمن بن أبي سعيد عن أبيه</w:t>
        <w:br/>
      </w:r>
      <w:r>
        <w:rPr>
          <w:color w:val="FF0000"/>
          <w:rtl w:val="1"/>
        </w:rPr>
        <w:t xml:space="preserve">قال: شَغَلَنا المُشرِكُون يومَ الخَندقِ عَن صلاةِ الظُّهر حتَّى غَرَبت الشمسُ،  </w:t>
      </w:r>
      <w:r>
        <w:rPr>
          <w:color w:val="FF0000"/>
          <w:rtl w:val="1"/>
        </w:rPr>
        <w:t xml:space="preserve">وذلك قبلَ أَن يَنزلَ في القتال ما نَزَل، فأنزلَ اللهُ عزَّ وجلَّ: {وَكَفَى اللَّهُ الْمُؤْمِنِينَ الْقِتَالَ} [الأحزاب: 25]  </w:t>
      </w:r>
      <w:r>
        <w:rPr>
          <w:color w:val="FF0000"/>
          <w:rtl w:val="1"/>
        </w:rPr>
        <w:t xml:space="preserve">فأمر رسولُ اللهِ ﷺ بلالاً فأقامَ لصلاةِ الظُّهرِ فصَلّاها كَمَا كانَ يُصلِّيها لوَقتِها،  </w:t>
      </w:r>
      <w:r>
        <w:rPr>
          <w:color w:val="FF0000"/>
          <w:rtl w:val="1"/>
        </w:rPr>
        <w:t xml:space="preserve">ثمَّ أَقامَ للعَصرِ فصَلّاها كما كان يُصلِّيها في وَقتِها،  </w:t>
      </w:r>
      <w:r>
        <w:rPr>
          <w:color w:val="FF0000"/>
          <w:rtl w:val="1"/>
        </w:rPr>
        <w:t xml:space="preserve">ثمَّ أَذَّن للمَغرِب فصلَّاها كما كان يُصلِّيها في وَقتِها.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قضاء صلاة الفريضة - الصلوات المفروضة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الخندق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