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قول الله تعالىوهو الذي يبدأ الخلق ثم يعيده-كتاب بدء الخلق-صحيح البخاري — رقم الحديث: 3193 — الرقم الفرعي: 99 — الرقم الأصلي: 3193</w:t>
        <w:br/>
      </w:r>
      <w:r>
        <w:rPr>
          <w:rtl w:val="1"/>
        </w:rPr>
        <w:t xml:space="preserve"> حدثني عبد الله بن أبي شيبة عن أبي أحمد عن سفيان عن أبي الزناد عن الأعرج عن أبي هريرة رضي الله عنه</w:t>
        <w:br/>
      </w:r>
      <w:r>
        <w:rPr>
          <w:color w:val="000000"/>
          <w:rtl w:val="1"/>
        </w:rPr>
        <w:t xml:space="preserve">قال: قال النّبيُّ ﷺ: - أُراهُ -:  </w:t>
      </w:r>
      <w:r>
        <w:rPr>
          <w:color w:val="FF0000"/>
          <w:rtl w:val="1"/>
        </w:rPr>
        <w:t xml:space="preserve">«يقولُ اللهُ: شَتَمَني ابنُ آدمَ، وما يَنبَغي له أنْ يَشْتِمَني،  </w:t>
      </w:r>
      <w:r>
        <w:rPr>
          <w:color w:val="FF0000"/>
          <w:rtl w:val="1"/>
        </w:rPr>
        <w:t xml:space="preserve">وتَكَذَّبَني وما يَنبَغي له.  </w:t>
      </w:r>
      <w:r>
        <w:rPr>
          <w:color w:val="FF0000"/>
          <w:rtl w:val="1"/>
        </w:rPr>
        <w:t xml:space="preserve">أمَّا شَتْمُه فقولُه: إنَّ لي ولَدًا.  </w:t>
      </w:r>
      <w:r>
        <w:rPr>
          <w:color w:val="FF0000"/>
          <w:rtl w:val="1"/>
        </w:rPr>
        <w:t xml:space="preserve">وأمَّا تَكْذِيبُه فقولُه: ليس يُعِيدُني كما بَدَأنِي».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إنكار الكافرين للبعث - سابعًا: البعث والنشور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