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الحكم باتّفاق أهل العلم-كتاب آداب القضاة-سنن النسائي — رقم الحديث: 5399 — الرقم الفرعي: 99 — الرقم الأصلي: 5399</w:t>
        <w:br/>
      </w:r>
      <w:r>
        <w:rPr>
          <w:rtl w:val="1"/>
        </w:rPr>
        <w:t xml:space="preserve"> أخبرنا محمد بن بشّار قال:حدثنا أبو عامر قال:حدثنا سفيان عن الشّيبانيّ عن الشّعبيّ</w:t>
        <w:br/>
      </w:r>
      <w:r>
        <w:rPr>
          <w:color w:val="000000"/>
          <w:rtl w:val="1"/>
        </w:rPr>
        <w:t xml:space="preserve">عن شُرَيح، أنّه كتبَ إلى عُمرَ يَسألُه،  </w:t>
      </w:r>
      <w:r>
        <w:rPr>
          <w:color w:val="FF0000"/>
          <w:rtl w:val="1"/>
        </w:rPr>
        <w:t xml:space="preserve">فكتَبَ إليه: أنِ اقْضِ بِما في كِتابِ اللهِ،  </w:t>
      </w:r>
      <w:r>
        <w:rPr>
          <w:color w:val="FF0000"/>
          <w:rtl w:val="1"/>
        </w:rPr>
        <w:t xml:space="preserve">فإنْ لم يَكن في كتاب الله، فبِسُنَّةِ رسولِ الله ﷺ،  </w:t>
      </w:r>
      <w:r>
        <w:rPr>
          <w:color w:val="000000"/>
          <w:rtl w:val="1"/>
        </w:rPr>
        <w:t xml:space="preserve">فإنْ لم يَكُن في كتابِ اللهِ ولا في سُنّة رسولِ الله ﷺ، فاقْضِ بما قَضَى به الصَّالِحون،  </w:t>
      </w:r>
      <w:r>
        <w:rPr>
          <w:color w:val="FF0000"/>
          <w:rtl w:val="1"/>
        </w:rPr>
        <w:t xml:space="preserve">فإنْ لم يَكُن في كتابِ اللهِ ولا في سُنّةِ رسولِ الله ﷺ، ولم يَقْضِ به الصَّالِحون، فإنْ شِئتَ فتقَدَّمْ وإنْ شئتَ فتأخَّر،  </w:t>
      </w:r>
      <w:r>
        <w:rPr>
          <w:color w:val="FF0000"/>
          <w:rtl w:val="1"/>
        </w:rPr>
        <w:t xml:space="preserve">ولا أرى التّأخُّرَ إلّا خَيرًا لك،  </w:t>
      </w:r>
      <w:r>
        <w:rPr>
          <w:color w:val="000000"/>
          <w:rtl w:val="1"/>
        </w:rPr>
        <w:t xml:space="preserve">والسّلامُ عليكم.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المصدر الإلهي - الكتاب والسنة - مصادر المعرفة</w:t>
      </w:r>
    </w:p>
    <w:p>
      <w:pPr>
        <w:bidi w:val="1"/>
        <w:jc w:val="start"/>
      </w:pPr>
      <w:r>
        <w:rPr>
          <w:rtl w:val="1"/>
        </w:rPr>
        <w:t>الشرح: الدلالة: الدولة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قيمة الورع في الفتوى والقضاء - قيم الورع</w:t>
      </w:r>
    </w:p>
    <w:p>
      <w:pPr>
        <w:bidi w:val="1"/>
        <w:jc w:val="start"/>
      </w:pPr>
      <w:r>
        <w:rPr>
          <w:rtl w:val="1"/>
        </w:rPr>
        <w:t>الشرح: الدلالة: الكتاب والسنة</w:t>
      </w:r>
    </w:p>
    <w:p>
      <w:pPr>
        <w:bidi w:val="1"/>
        <w:jc w:val="start"/>
      </w:pPr>
      <w:r>
        <w:rPr>
          <w:rtl w:val="1"/>
        </w:rPr>
        <w:t>الشرح: الدلالة: الحث على الاجتهاد وفضله - ما ورد في إعتبار الرأي وقبوله</w:t>
      </w:r>
    </w:p>
    <w:p>
      <w:pPr>
        <w:bidi w:val="1"/>
        <w:jc w:val="start"/>
      </w:pPr>
      <w:r>
        <w:rPr>
          <w:rtl w:val="1"/>
        </w:rPr>
        <w:t>الشرح: الدلالة: اجتهاد الصحابة ومن بعدهم إلى قيام الساعة - ما ورد في اعتبار الرأي وقبوله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الاستقراء والاستنباط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القياس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التفكير الصحيح والمنهج العلمي - الرعاية العقلية</w:t>
      </w:r>
    </w:p>
    <w:p>
      <w:pPr>
        <w:bidi w:val="1"/>
        <w:jc w:val="start"/>
      </w:pPr>
      <w:r>
        <w:rPr>
          <w:rtl w:val="1"/>
        </w:rPr>
        <w:t>الشرح: الدلالة: الاجتهاد - طرق المعرفة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الحكم بما أنزل الله تعالى - القيم السياسية والإدارية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