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قال:المستحاضة تغتسل من ظهر إلى ظهر-كتاب الطهارة-سنن أبي داود — رقم الحديث: 301 — الرقم الفرعي: 99 — الرقم الأصلي: 301</w:t>
        <w:br/>
      </w:r>
      <w:r>
        <w:rPr>
          <w:rtl w:val="1"/>
        </w:rPr>
        <w:t xml:space="preserve"> حدثنا القعنبيّ عن مالك عن سُميّ مولى أبي بكر</w:t>
        <w:br/>
      </w:r>
      <w:r>
        <w:rPr>
          <w:color w:val="000000"/>
          <w:rtl w:val="1"/>
        </w:rPr>
        <w:t xml:space="preserve">أنَّ القَعقاعَ وزيدَ بنَ أسلَمَ أرسَلاهُ إلى سعيد بنِ المُسيّب يَسألُهُ:  </w:t>
      </w:r>
      <w:r>
        <w:rPr>
          <w:color w:val="FF0000"/>
          <w:rtl w:val="1"/>
        </w:rPr>
        <w:t xml:space="preserve">كيفَ تَغتَسِلُ المُستحاضَةُ؟  </w:t>
      </w:r>
      <w:r>
        <w:rPr>
          <w:color w:val="FF0000"/>
          <w:rtl w:val="1"/>
        </w:rPr>
        <w:t xml:space="preserve">فقال: تَغتَسِلُ مِن ظُهرٍ إلى ظُهرٍ،  </w:t>
      </w:r>
      <w:r>
        <w:rPr>
          <w:color w:val="FF0000"/>
          <w:rtl w:val="1"/>
        </w:rPr>
        <w:t xml:space="preserve">وتَوضَّأُ لكُلِّ صلاةٍ،  </w:t>
      </w:r>
      <w:r>
        <w:rPr>
          <w:color w:val="000000"/>
          <w:rtl w:val="1"/>
        </w:rPr>
        <w:t xml:space="preserve">فإن غَلَبَها الدَّمُ استَثَفَرَت بثَوب. </w:t>
      </w:r>
      <w:r>
        <w:rPr>
          <w:color w:val="000000"/>
          <w:rtl w:val="1"/>
        </w:rPr>
        <w:t xml:space="preserve">قال أبو داود: ورُوِيَ عن ابنِ عمر وأنسِ بنِ مالك: تَغتَسِلُ مِن ظُهرٍ إلى ظُهرٍ.  </w:t>
      </w:r>
      <w:r>
        <w:rPr>
          <w:color w:val="000000"/>
          <w:rtl w:val="1"/>
        </w:rPr>
        <w:t xml:space="preserve">وكذلك روى داودُ وعاصمٌ، عن الشَّعبيِّ، عن امرأته، عن قَميرِ، عن عائشة،  </w:t>
      </w:r>
      <w:r>
        <w:rPr>
          <w:color w:val="000000"/>
          <w:rtl w:val="1"/>
        </w:rPr>
        <w:t xml:space="preserve">إلا أنَّ داودَ قال: كُلَّ يومٍ،  </w:t>
      </w:r>
      <w:r>
        <w:rPr>
          <w:color w:val="000000"/>
          <w:rtl w:val="1"/>
        </w:rPr>
        <w:t xml:space="preserve">وفي حديث عاصم: عند الظُّهر.  </w:t>
      </w:r>
      <w:r>
        <w:rPr>
          <w:color w:val="000000"/>
          <w:rtl w:val="1"/>
        </w:rPr>
        <w:t xml:space="preserve">وهو قولُ سالم بن عبد الله والحسن وعطاء. </w:t>
      </w:r>
      <w:r>
        <w:rPr>
          <w:color w:val="FF0000"/>
          <w:rtl w:val="1"/>
        </w:rPr>
        <w:t xml:space="preserve">وقال مالكٌ: إنِّي لأظنُّ حديثَ سعيد بنِ المسيّب إنَّما هو: «مِن طُهرٍ إلى طُهرٍ»، ولكن الوَهمَ دخلَ فيه. </w:t>
      </w:r>
      <w:r>
        <w:rPr>
          <w:color w:val="000000"/>
          <w:rtl w:val="1"/>
        </w:rPr>
        <w:t xml:space="preserve">ورواه مِسْوَر بنُ عبد الملك بن سعيد بن عبدِ الرَّحمن بن يَربُوع:  </w:t>
      </w:r>
      <w:r>
        <w:rPr>
          <w:color w:val="000000"/>
          <w:rtl w:val="1"/>
        </w:rPr>
        <w:t xml:space="preserve">«مِن طُهرٍ الى طُهرٍ»، فلَقِنَها الناسُ: «مِن ظُهرٍ إلى ظُهرٍ».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المصحف والمحرف - اختلاف الروايات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طهارة المستحاضة - أحكام الاستحاضة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عبادات المستحاضة - أحكام الاستحاضة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