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طرح الخاتم وترك لبسه-كتاب الزينة-سنن النسائي — رقم الحديث: 5289 — الرقم الفرعي: 99 — الرقم الأصلي: 5289</w:t>
        <w:br/>
      </w:r>
      <w:r>
        <w:rPr>
          <w:rtl w:val="1"/>
        </w:rPr>
        <w:t xml:space="preserve"> أخبرنا محمد بن عليّ بن حرب قال:حدثنا عثمان بن عمر قال:حدثنا مالك بن مِغوَل عن سليمان الشّيبانيّ عن سعيد بن جبير عن ابن عبّاس</w:t>
        <w:br/>
      </w:r>
      <w:r>
        <w:rPr>
          <w:color w:val="FF0000"/>
          <w:rtl w:val="1"/>
        </w:rPr>
        <w:t xml:space="preserve">أنَّ رسولَ الله ﷺ اتّخذَ خاتَمًا فلَبِسَه،  </w:t>
      </w:r>
      <w:r>
        <w:rPr>
          <w:color w:val="FF0000"/>
          <w:rtl w:val="1"/>
        </w:rPr>
        <w:t xml:space="preserve">قال: «شَغَلني هذا عنكُم منذُ اليوم، إليه نظرةٌ، وإليكُم نظرة» ثمّ أَلقاه.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