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فيمن يموت وهو يشهد أن لا إله إلا الله-كتاب صفة جهنم-سنن الترمذي — رقم الحديث: 2639 — الرقم الفرعي: 99 — الرقم الأصلي: 2641</w:t>
        <w:br/>
      </w:r>
      <w:r>
        <w:rPr>
          <w:rtl w:val="1"/>
        </w:rPr>
        <w:t xml:space="preserve"> حدثنا سويد بن نصر أخبرنا عبد الله بن ليث بن سعد حدثني عامر بن يحيى عن أبي عبد الرحمن المُعافريّ ثمّ الحُبليّ قال:سمعت عبد الله بن عمرو بن العاص يقول:قال رسول الله صلى الله عليه وسلم</w:t>
        <w:br/>
      </w:r>
      <w:r>
        <w:rPr>
          <w:color w:val="FF0000"/>
          <w:rtl w:val="1"/>
        </w:rPr>
        <w:t xml:space="preserve">«إنَّ اللهَ سَيُخلِّصُ رجلًا من أُمّتي على رُؤوس الخَلائقِ يومَ القِيامةِ، فينشُرُ عليه تِسعةً وتِسعينَ سِجِلًّا، كلُّ سِجِلٍّ مثلُ مَدِّ البَصَر،  </w:t>
      </w:r>
      <w:r>
        <w:rPr>
          <w:color w:val="FF0000"/>
          <w:rtl w:val="1"/>
        </w:rPr>
        <w:t xml:space="preserve">ثم يقول: أتُنكِرُ من هذا شيئًا؟ أظَلَمَكَ كَتَبَتي الحافظون؟ فيقول: لا يا ربِّ، فيقول: أفَلَكَ عُذرٌ؟ فيقول: لا يا ربِّ،  </w:t>
      </w:r>
      <w:r>
        <w:rPr>
          <w:color w:val="FF0000"/>
          <w:rtl w:val="1"/>
        </w:rPr>
        <w:t xml:space="preserve">فيقول: بلَى إنَّ لكَ عندَنا حسنةً، وإنّه لا ظُلمَ عليكَ اليوم،  </w:t>
      </w:r>
      <w:r>
        <w:rPr>
          <w:color w:val="FF0000"/>
          <w:rtl w:val="1"/>
        </w:rPr>
        <w:t xml:space="preserve">فتُخرَجُ بطاقةٌ فيها: أشهَدُ أن لا إلهَ إلّا اللهُ وأشهَدُ أنَّ محمدًا عبدُه ورسولُه،  </w:t>
      </w:r>
      <w:r>
        <w:rPr>
          <w:color w:val="FF0000"/>
          <w:rtl w:val="1"/>
        </w:rPr>
        <w:t xml:space="preserve">فيقول: احضُرْ وَزْنَكَ، فيقول: يا ربِّ ما هذه البِطاقةُ معَ هذه السِّجِلّات، فقال: إنّكَ لا تُظلَم،  </w:t>
      </w:r>
      <w:r>
        <w:rPr>
          <w:color w:val="FF0000"/>
          <w:rtl w:val="1"/>
        </w:rPr>
        <w:t xml:space="preserve">قال: فتُوضَع السِّجِلّاتُ في كَفّةٍ والبطاقةُ في كَفّة، فطاشَتِ السِّجِلاتُ وثَقُلتِ البطاقةُ،  </w:t>
      </w:r>
      <w:r>
        <w:rPr>
          <w:color w:val="FF0000"/>
          <w:rtl w:val="1"/>
        </w:rPr>
        <w:t xml:space="preserve">فلا يَثقُلُ مع اسمِ اللهِ شيء».  </w:t>
      </w:r>
      <w:r>
        <w:rPr>
          <w:color w:val="000000"/>
          <w:rtl w:val="1"/>
        </w:rPr>
        <w:t xml:space="preserve">هذا حديثٌ حسنٌ غريب. </w:t>
      </w:r>
      <w:r>
        <w:rPr>
          <w:color w:val="000000"/>
          <w:rtl w:val="1"/>
        </w:rPr>
        <w:t xml:space="preserve">حدَّثنا قُتيبة، حدَّثنا ابن لَهِيعة، عن عامر بن يحيى، بهذا الإسناد،  نحوه، بمعناه.  </w:t>
      </w:r>
      <w:r>
        <w:rPr>
          <w:color w:val="000000"/>
          <w:rtl w:val="1"/>
        </w:rPr>
        <w:t xml:space="preserve">والبطاقة: هي القطعة.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الكرم والغنى والحلم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شهادة التوحيد (لا إله إلا الله) - قيم الإيمان والتوحيد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ما يملأ الميزان ويثقله - حادي عشر: الميزان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