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الوضوء ثلاثاً ثلاثاً-كتاب الوضوء-صحيح البخاري — رقم الحديث: 159 — الرقم الفرعي: 99 — الرقم الأصلي: 159</w:t>
        <w:br/>
      </w:r>
      <w:r>
        <w:rPr>
          <w:rtl w:val="1"/>
        </w:rPr>
        <w:t xml:space="preserve"> حدثنا عبد العزيز بن عبد الله الأويسيّ قال:حدثني إبراهيم بن سعد عن ابن شهاب أنّ عطاء بن يزيد أخبره أن حمران ملاحظة مولى عثمان</w:t>
        <w:br/>
      </w:r>
      <w:r>
        <w:rPr>
          <w:color w:val="FF0000"/>
          <w:rtl w:val="1"/>
        </w:rPr>
        <w:t xml:space="preserve">أنَّه رأى عُثمانَ بنَ عَفّانَ، رضي الله عنه، دَعَا بإناءٍ  </w:t>
      </w:r>
      <w:r>
        <w:rPr>
          <w:color w:val="FF0000"/>
          <w:rtl w:val="1"/>
        </w:rPr>
        <w:t xml:space="preserve">فأفرَغَ على كَفَّيه ثلاثَ مِرارٍ فغَسَلَهما،  </w:t>
      </w:r>
      <w:r>
        <w:rPr>
          <w:color w:val="FF0000"/>
          <w:rtl w:val="1"/>
        </w:rPr>
        <w:t xml:space="preserve">ثمَّ أدخَلَ يَمِينَه في الإناءِ فمَضْمَضَ واستَنشَقَ،  </w:t>
      </w:r>
      <w:r>
        <w:rPr>
          <w:color w:val="FF0000"/>
          <w:rtl w:val="1"/>
        </w:rPr>
        <w:t xml:space="preserve">ثمَّ غَسَلَ وجهَه ثلاثًا، </w:t>
      </w:r>
      <w:r>
        <w:rPr>
          <w:color w:val="FF0000"/>
          <w:rtl w:val="1"/>
        </w:rPr>
        <w:t xml:space="preserve">ويَدَيه إلى المِرفَقَينِ ثلاثَ مِرارٍ،  </w:t>
      </w:r>
      <w:r>
        <w:rPr>
          <w:color w:val="FF0000"/>
          <w:rtl w:val="1"/>
        </w:rPr>
        <w:t xml:space="preserve">ثمَّ مَسَح برأسِه،  </w:t>
      </w:r>
      <w:r>
        <w:rPr>
          <w:color w:val="FF0000"/>
          <w:rtl w:val="1"/>
        </w:rPr>
        <w:t xml:space="preserve">ثمَّ غَسَلَ رِجلَيهِ ثلاثَ مِرارٍ إلى الكَعْبينِ،  </w:t>
      </w:r>
      <w:r>
        <w:rPr>
          <w:color w:val="FF0000"/>
          <w:rtl w:val="1"/>
        </w:rPr>
        <w:t xml:space="preserve">ثمَّ قال: قالَ رسولُ الله ﷺ: «مَن تَوضَّأَ نحوَ وُضُوئي هذا،  </w:t>
      </w:r>
      <w:r>
        <w:rPr>
          <w:color w:val="FF0000"/>
          <w:rtl w:val="1"/>
        </w:rPr>
        <w:t xml:space="preserve">ثمَّ صَلَّى رَكْعتَينِ لا يُحدِّثُ فيهما نَفْسَه،  </w:t>
      </w:r>
      <w:r>
        <w:rPr>
          <w:color w:val="FF0000"/>
          <w:rtl w:val="1"/>
        </w:rPr>
        <w:t xml:space="preserve">غُفِرَ له ما تَقدَّمَ مِن ذَنبِه». </w:t>
      </w:r>
    </w:p>
    <w:p>
      <w:pPr>
        <w:bidi w:val="1"/>
        <w:jc w:val="start"/>
      </w:pPr>
      <w:r>
        <w:rPr>
          <w:rtl w:val="1"/>
        </w:rPr>
        <w:t>الشرح: الدلالة: الكفارات (انظر الكفارات) - العقوبات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المضمضة والاستنشاق - سنن الفطرة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مشروعية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صفة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الرجلين وتخليل الأصابع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العدد والترتيب والموالاة والتيامن في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الوضوء من الآنية وغيرها - مباحات الوضوء</w:t>
      </w:r>
    </w:p>
    <w:p>
      <w:pPr>
        <w:bidi w:val="1"/>
        <w:jc w:val="start"/>
      </w:pPr>
      <w:r>
        <w:rPr>
          <w:rtl w:val="1"/>
        </w:rPr>
        <w:t>الشرح: الدلالة: النفس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غسل الكفين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اليدين إلى المرفقين - أعمال الوضوء (فرائضه وسننه)</w:t>
      </w:r>
    </w:p>
    <w:p>
      <w:pPr>
        <w:bidi w:val="1"/>
        <w:jc w:val="start"/>
      </w:pPr>
      <w:r>
        <w:rPr>
          <w:rtl w:val="1"/>
        </w:rPr>
        <w:t xml:space="preserve">الشرح: الدلالة: صفة وضوئه ﷺ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