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القبلة في الصوم ليست محرمة على من لم تحرك شهوته-كتاب الصيام-صحيح مسلم — رقم الحديث: 1106 — الرقم الفرعي: 1 — الرقم الأصلي: 1106</w:t>
        <w:br/>
      </w:r>
      <w:r>
        <w:rPr>
          <w:rtl w:val="1"/>
        </w:rPr>
        <w:t xml:space="preserve"> حدثني عليّ بن حُجر حدثنا سفيان عن هشام بن عروة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يُقبِّلُ إحدَى نِسائِه وهو صائم.  </w:t>
      </w:r>
      <w:r>
        <w:rPr>
          <w:color w:val="FF0000"/>
          <w:rtl w:val="1"/>
        </w:rPr>
        <w:t xml:space="preserve">ثم تَضحَك.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