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قراءة الفاتحة في كلّ ركعة-كتاب الصلاة-صحيح مسلم — رقم الحديث: 395 — الرقم الفرعي: 1 — الرقم الأصلي: 395</w:t>
        <w:br/>
      </w:r>
      <w:r>
        <w:rPr>
          <w:rtl w:val="1"/>
        </w:rPr>
        <w:t xml:space="preserve"> وحدثناه إسحاق بن إبراهيم الحنظليّ أخبرنا سفيان بن عُيينة عن العلاء عن أبيه عن أبي هريرة عن النبيّ صلى الله عليه وسلم</w:t>
        <w:br/>
      </w:r>
      <w:r>
        <w:rPr>
          <w:color w:val="FF0000"/>
          <w:rtl w:val="1"/>
        </w:rPr>
        <w:t xml:space="preserve">قال: «مَن صلَّى صلاةً لم يَقرأْ فيها بأُمِّ القرآنِ فهي خِدَاج» - ثلاثًا - «غيرُ تَمام».  </w:t>
      </w:r>
      <w:r>
        <w:rPr>
          <w:color w:val="FF0000"/>
          <w:rtl w:val="1"/>
        </w:rPr>
        <w:t xml:space="preserve">فقِيلَ لأبي هُريرةَ: إنّا نكونُ وراءَ الإمام؟ فقال: «اقرَأْ بها في نفْسِك»؛  </w:t>
      </w:r>
      <w:r>
        <w:rPr>
          <w:color w:val="FF0000"/>
          <w:rtl w:val="1"/>
        </w:rPr>
        <w:t xml:space="preserve">فإنِّي سمعتُ رسولَ الله ﷺ يقول:  </w:t>
      </w:r>
      <w:r>
        <w:rPr>
          <w:color w:val="FF0000"/>
          <w:rtl w:val="1"/>
        </w:rPr>
        <w:t xml:space="preserve">«قالَ اللهُ تعالى: قسَمْتُ الصَّلاةَ بينِي وبينَ عَبدِي نِصفَين، ولِعبْدي ما سَأَل،  </w:t>
      </w:r>
      <w:r>
        <w:rPr>
          <w:color w:val="FF0000"/>
          <w:rtl w:val="1"/>
        </w:rPr>
        <w:t xml:space="preserve">فإذا قالَ العبدُ: ﴿الحَمدُ للهِ رَبِّ العالَمين﴾ [الفاتحة: 2]، قال اللهُ تعالى: حَمِدَني عبْدِي،  </w:t>
      </w:r>
      <w:r>
        <w:rPr>
          <w:color w:val="FF0000"/>
          <w:rtl w:val="1"/>
        </w:rPr>
        <w:t xml:space="preserve">وإذا قال: ﴿الرَّحمنِ الرَّحِيم﴾، قال اللهُ تعالى: أَثنَى علَيَّ عبْدِي،  </w:t>
      </w:r>
      <w:r>
        <w:rPr>
          <w:color w:val="FF0000"/>
          <w:rtl w:val="1"/>
        </w:rPr>
        <w:t xml:space="preserve">وإذا قال: ﴿مالِكِ يومِ الدِّين﴾، قال: مجَّدَني عبْدِي - وقالَ مَرَّةً: فوَّضَ إليَّ عبْدِي -  </w:t>
      </w:r>
      <w:r>
        <w:rPr>
          <w:color w:val="FF0000"/>
          <w:rtl w:val="1"/>
        </w:rPr>
        <w:t xml:space="preserve">فإذا قال: ﴿إيّاكَ نَعبدُ وإيّاكَ نَستَعينُ﴾، قال: هذا بَينِي وبينَ عَبْدِي، ولِعبْدِي ما سَأَل،  </w:t>
      </w:r>
      <w:r>
        <w:rPr>
          <w:color w:val="FF0000"/>
          <w:rtl w:val="1"/>
        </w:rPr>
        <w:t xml:space="preserve">فإذا قال: ﴿اهدِنا الصِّراطَ المُستَقِيمَ صِراطَ الَّذينَ أَنعَمْتَ عليهِم غَيرِ المَغضُوبِ عَلَيهِم ولا الضَّالِّين﴾، قال: هذا لِعبْدِي، ولِعبْدِي ما سَأَل» </w:t>
      </w:r>
      <w:r>
        <w:rPr>
          <w:color w:val="000000"/>
          <w:rtl w:val="1"/>
        </w:rPr>
        <w:t xml:space="preserve">قال: سفيان، حدَّثَني به العلاءُ بن عبدِ الرَّحمن بنِ يَعقوب، دخلتُ عليه وهو مَريضٌ في بيتِه، فسألتُه أنا عنه.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الرجاء والخوف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الرضى والاستسلام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قراءة المأموم وإنصاته - متابعة الإمام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وجوب قراءة الفاتحة في الصلاة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فضل قراءة الفاتحة في الصلاة - قراءة الفاتحة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