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السعي في الفتنة-كتاب الفتن والملاحم-سنن أبي داود — رقم الحديث: 4259 — الرقم الفرعي: 99 — الرقم الأصلي: 4259</w:t>
        <w:br/>
      </w:r>
      <w:r>
        <w:rPr>
          <w:rtl w:val="1"/>
        </w:rPr>
        <w:t xml:space="preserve"> حدثنا مُسدد ثنا عبد الوارث بن سعيد عن محمد بن جحادة عن عبد الرحمن بن ثروان عن هزيل عن أبي موسى الأشعريّ قال:قال رسول الله صلى الله عليه وسلم</w:t>
        <w:br/>
      </w:r>
      <w:r>
        <w:rPr>
          <w:color w:val="FF0000"/>
          <w:rtl w:val="1"/>
        </w:rPr>
        <w:t xml:space="preserve">«إنَّ بينَ يدَي السَّاعةِ فِتَنًا كقِطَع اللَّيل المُظلم، يُصبحُ الرَّجلُ فيها مُؤمنًا ويُمسِي كافرًا، ويُمسي مُؤمنًا ويَصبحُ كافرًا،  </w:t>
      </w:r>
      <w:r>
        <w:rPr>
          <w:color w:val="FF0000"/>
          <w:rtl w:val="1"/>
        </w:rPr>
        <w:t xml:space="preserve">القاعدُ فيها خيرٌ مِن القائم، والماشي فيها خيرٌ من السَّاعي،  </w:t>
      </w:r>
      <w:r>
        <w:rPr>
          <w:color w:val="FF0000"/>
          <w:rtl w:val="1"/>
        </w:rPr>
        <w:t xml:space="preserve">فكسِّروا قِسِيَّكم، وقطِّعوا أَوتارَكم، واضرِبوا سُيوفَكم بالحِجارة،  </w:t>
      </w:r>
      <w:r>
        <w:rPr>
          <w:color w:val="FF0000"/>
          <w:rtl w:val="1"/>
        </w:rPr>
        <w:t xml:space="preserve">فإنْ دُخِل - يعني على أَحدٍ مِنكُم - فليكن كخَير ابنَيْ آدم».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