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ترك القراءة خلف الإمام إذا جهر الإمام بالقراءة-أبواب الصلاة-سنن الترمذي — رقم الحديث: 313 — الرقم الفرعي: 99 — الرقم الأصلي: 313</w:t>
        <w:br/>
      </w:r>
      <w:r>
        <w:rPr>
          <w:rtl w:val="1"/>
        </w:rPr>
        <w:t xml:space="preserve"> حدثنا إسحاق بن موسى الأنصاريّ حدثنا معن حدثنا مالك عن أبي نعيم،وهب بن كيسان أنه سمع جابر بن عبد الله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مَن صلَّى رَكعةُ لم يَقرَأْ فيها بأُمِّ القُرآنِ فلم يُصَلِّ،  </w:t>
      </w:r>
      <w:r>
        <w:rPr>
          <w:color w:val="FF0000"/>
          <w:rtl w:val="1"/>
        </w:rPr>
        <w:t xml:space="preserve">إلّا أن يكونَ وراءَ الإمام.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قراءة المأموم وإنصاته - متابعة الإمام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