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ملازمة جماعة المسلمين عند ظهور الفتن،وفي كل حال-كتاب الإمارة-صحيح مسلم — رقم الحديث: 1848 — الرقم الفرعي: 1 — الرقم الأصلي: 1848</w:t>
        <w:br/>
      </w:r>
      <w:r>
        <w:rPr>
          <w:rtl w:val="1"/>
        </w:rPr>
        <w:t xml:space="preserve"> حدثنا شَيْبان بن فَرّوخ حدثنا جرير ملاحظة يعني ابن حازم حدثنا غَيْلان بن جرير عن أبي قيس بن رياح عن أبي هريرة عن النبيّ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«مَن خَرَجَ مِن الطاعةِ، وفارَقَ الجَماعةَ، فَماتَ، ماتَ مِيتةً جاهِليّة،  </w:t>
      </w:r>
      <w:r>
        <w:rPr>
          <w:color w:val="FF0000"/>
          <w:rtl w:val="1"/>
        </w:rPr>
        <w:t xml:space="preserve">ومَن قاتَل تحت رايَة عِمِّيّةٍ يَغضَبُ لِعَصَبةٍ، أو يَدعُو إلى عَصَبةٍ، أو يَنصُر عَصَبةً، فقُتِل، فقِتلةٌ جاهِليّة،  </w:t>
      </w:r>
      <w:r>
        <w:rPr>
          <w:color w:val="FF0000"/>
          <w:rtl w:val="1"/>
        </w:rPr>
        <w:t xml:space="preserve">ومَن خَرَجَ على أُمّتي، يَضرِب بَرَّها وفاجِرَها، ولا يَتحاشَى مِن مُؤمِنِها، ولا يَفِي لِذِي عَهدٍ عَهدَه، فليس مِنّي ولستُ مِنه».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النهي عن العصبية - الأمة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