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الغزو مع أئمّة الجوْر-كتاب الجهاد-سنن أبي داود — رقم الحديث: 2533 — الرقم الفرعي: 99 — الرقم الأصلي: 2533</w:t>
        <w:br/>
      </w:r>
      <w:r>
        <w:rPr>
          <w:rtl w:val="1"/>
        </w:rPr>
        <w:t xml:space="preserve"> حدثنا أحمد بن صالح ثنا ابن وهب حدثني معاوية بن صالح عن العلاء بن الحارث عن مكحول عن أبي هريرة قال:قال رسول الله صلى الله عليه وسلم</w:t>
        <w:br/>
      </w:r>
      <w:r>
        <w:rPr>
          <w:color w:val="FF0000"/>
          <w:rtl w:val="1"/>
        </w:rPr>
        <w:t xml:space="preserve">«الجهادُ واجبٌ عليكم مع كلِّ أميرٍ، بَرًّا كان أو فاجِرًا،  </w:t>
      </w:r>
      <w:r>
        <w:rPr>
          <w:color w:val="FF0000"/>
          <w:rtl w:val="1"/>
        </w:rPr>
        <w:t xml:space="preserve">والصلاةُ واجبةٌ عليكم خلفَ كلِّ مسلمٍ، بَرًّا كان أو فاجِرًا، وإنْ عَمِل الكبائرَ،  </w:t>
      </w:r>
      <w:r>
        <w:rPr>
          <w:color w:val="FF0000"/>
          <w:rtl w:val="1"/>
        </w:rPr>
        <w:t xml:space="preserve">والصلاةُ واجبةٌ على كلِّ مسلمٍ، بَرًّا كان أو فاجِرًا، وإن عملَ الكبائرَ». </w:t>
      </w:r>
    </w:p>
    <w:p>
      <w:pPr>
        <w:bidi w:val="1"/>
        <w:jc w:val="start"/>
      </w:pPr>
      <w:r>
        <w:rPr>
          <w:rtl w:val="1"/>
        </w:rPr>
        <w:t>درجة الحديث: رجال إسناده ثقات</w:t>
      </w:r>
    </w:p>
    <w:p>
      <w:pPr>
        <w:bidi w:val="1"/>
        <w:jc w:val="start"/>
      </w:pPr>
      <w:r>
        <w:rPr>
          <w:rtl w:val="1"/>
        </w:rPr>
        <w:t>الشرح: الدلالة: قيمة مراعاة المصلحة العامة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