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bidi w:val="1"/>
        <w:jc w:val="start"/>
      </w:pPr>
      <w:r>
        <w:rPr>
          <w:rtl w:val="1"/>
        </w:rPr>
        <w:t>مختارات من مكتبة الحديث</w:t>
      </w:r>
    </w:p>
    <w:p>
      <w:pPr>
        <w:bidi w:val="1"/>
        <w:jc w:val="start"/>
      </w:pPr>
      <w:r>
        <w:rPr>
          <w:rtl w:val="1"/>
        </w:rPr>
        <w:t>تقرير يضم 1 حديثًا من المحتوى المنشور. الشواهد المميزة مرتبطة بالدلالة المختارة أو بالتصنيفات المنشورة عند عدم اختيار دلالة. الأحكام من السجلات الأصلية.</w:t>
      </w:r>
    </w:p>
    <w:p>
      <w:pPr>
        <w:bidi w:val="1"/>
        <w:jc w:val="start"/>
      </w:pPr>
      <w:r>
        <w:rPr>
          <w:rtl w:val="1"/>
        </w:rPr>
        <w:fldChar w:fldCharType="begin"/>
        <w:instrText xml:space="preserve">TOC \o "1-9" \h \z \u</w:instrText>
        <w:fldChar w:fldCharType="end"/>
      </w:r>
    </w:p>
    <w:p>
      <w:pPr>
        <w:pStyle w:val="Heading1"/>
        <w:bidi w:val="1"/>
        <w:jc w:val="start"/>
      </w:pPr>
      <w:r>
        <w:rPr>
          <w:rtl w:val="1"/>
        </w:rPr>
        <w:t>الأحاديث المختارة</w:t>
      </w:r>
    </w:p>
    <w:p>
      <w:pPr>
        <w:bidi w:val="1"/>
        <w:jc w:val="start"/>
      </w:pPr>
      <w:r>
        <w:rPr>
          <w:b/>
          <w:rtl w:val="1"/>
        </w:rPr>
        <w:t>صحيح مسلم — باب ما يلزم،من طاف بالبيت وسعى،ومن البقاء على الإحرام وترك التحلل-كتاب الحجّ-صحيح مسلم — رقم الحديث: 1236 — الرقم الفرعي: 1 — الرقم الأصلي: 1236</w:t>
        <w:br/>
      </w:r>
      <w:r>
        <w:rPr>
          <w:rtl w:val="1"/>
        </w:rPr>
        <w:t xml:space="preserve"> حدثنا إسحاق بن إبراهيم أخبرنا محمد بن بكر أخبرنا ابن جريج ح وحدثني زهير بن حرب ملاحظة واللفظ له حدثنا رَوْح بن عُبادة حدثنا ابن جريج حدثني منصور بن عبد الرحمن عن أمّه،صفيّة بنت شيبة عن أسماء بنت أبي بكر رضي الله عنهما</w:t>
        <w:br/>
      </w:r>
      <w:r>
        <w:rPr>
          <w:color w:val="FF0000"/>
          <w:rtl w:val="1"/>
        </w:rPr>
        <w:t xml:space="preserve">قالت: خَرَجنا مُحرِمِينَ، فقال رَسولُ اللهِ ﷺ:  </w:t>
      </w:r>
      <w:r>
        <w:rPr>
          <w:color w:val="FF0000"/>
          <w:rtl w:val="1"/>
        </w:rPr>
        <w:t xml:space="preserve">«مَن كانَ مَعَه هَدْيٌ، فليَقُم على إِحرامِه، ومَن لَم يَكُن مَعَه هَديٌ، فليَحْلِل». </w:t>
      </w:r>
      <w:r>
        <w:rPr>
          <w:color w:val="FF0000"/>
          <w:rtl w:val="1"/>
        </w:rPr>
        <w:t xml:space="preserve">فلَم يَكُن مَعي هَديٌ فحَلَلتُ: وكَان مع الزُّبَيرِ هَديٌ فلَم يَحْلِل،  </w:t>
      </w:r>
      <w:r>
        <w:rPr>
          <w:color w:val="FF0000"/>
          <w:rtl w:val="1"/>
        </w:rPr>
        <w:t xml:space="preserve">قالت: فلَبِستُ ثِيابِي ثمَّ خَرَجتُ فجَلَستُ إِلى الزُّبَيرِ، فقال: قُومِي عَنِّي، فقُلتُ: أَتَخشَى أَن أَثِبَ عليك؟ </w:t>
      </w:r>
    </w:p>
    <w:p>
      <w:pPr>
        <w:bidi w:val="1"/>
        <w:jc w:val="start"/>
      </w:pPr>
      <w:r>
        <w:rPr>
          <w:rtl w:val="1"/>
        </w:rPr>
        <w:t>الشرح: الدلالة: فضل السنة ومكانتها</w:t>
      </w:r>
    </w:p>
    <w:p>
      <w:pPr>
        <w:bidi w:val="1"/>
        <w:jc w:val="start"/>
      </w:pPr>
      <w:r>
        <w:rPr>
          <w:rtl w:val="1"/>
        </w:rPr>
        <w:t>الشرح: الدلالة: الاعتصام بالسنة واتباعها - فضل السنة ومكانتها</w:t>
      </w:r>
    </w:p>
    <w:p>
      <w:pPr>
        <w:bidi w:val="1"/>
        <w:jc w:val="start"/>
      </w:pPr>
      <w:r>
        <w:rPr>
          <w:rtl w:val="1"/>
        </w:rPr>
        <w:t>الشرح: الدلالة: الاعتصام بالكتاب والسنة (الثبات) - المباديء</w:t>
      </w:r>
    </w:p>
    <w:p>
      <w:pPr>
        <w:bidi w:val="1"/>
        <w:jc w:val="start"/>
      </w:pPr>
      <w:r>
        <w:rPr>
          <w:rtl w:val="1"/>
        </w:rPr>
        <w:t>الشرح: الدلالة: التيسير - المباديء</w:t>
      </w:r>
    </w:p>
    <w:p>
      <w:pPr>
        <w:bidi w:val="1"/>
        <w:jc w:val="start"/>
      </w:pPr>
      <w:r>
        <w:rPr>
          <w:rtl w:val="1"/>
        </w:rPr>
        <w:t>الشرح: الدلالة: نية الإفراد أو القِران أو التمتع - النية والإحرام للحج</w:t>
      </w:r>
    </w:p>
    <w:p>
      <w:pPr>
        <w:bidi w:val="1"/>
        <w:jc w:val="start"/>
      </w:pPr>
      <w:r>
        <w:rPr>
          <w:rtl w:val="1"/>
        </w:rPr>
        <w:t>الشرح: الدلالة: الاقتداء - أساليب البحث عن المعرفة</w:t>
      </w:r>
    </w:p>
    <w:p>
      <w:pPr>
        <w:bidi w:val="1"/>
        <w:jc w:val="start"/>
      </w:pPr>
      <w:r>
        <w:rPr>
          <w:rtl w:val="1"/>
        </w:rPr>
        <w:t>الشرح: الدلالة: التربية بالموعظة (التوجيه والإرشاد) - الأساليب التربوية والتهذيبية</w:t>
      </w:r>
    </w:p>
    <w:p>
      <w:pPr>
        <w:bidi w:val="1"/>
        <w:jc w:val="start"/>
      </w:pPr>
      <w:r>
        <w:rPr>
          <w:rtl w:val="1"/>
        </w:rPr>
        <w:t>الشرح: الدلالة: التكرار - الأساليب التعليمية</w:t>
      </w:r>
    </w:p>
    <w:p>
      <w:pPr>
        <w:bidi w:val="1"/>
        <w:jc w:val="start"/>
      </w:pPr>
      <w:r>
        <w:rPr>
          <w:rtl w:val="1"/>
        </w:rPr>
        <w:t>الشرح: الدلالة: التحلل - أعمال العمرة</w:t>
      </w:r>
    </w:p>
    <w:p>
      <w:pPr>
        <w:bidi w:val="1"/>
        <w:jc w:val="start"/>
      </w:pPr>
      <w:r>
        <w:rPr>
          <w:rtl w:val="1"/>
        </w:rPr>
        <w:t>الشرح: الدلالة: الوصول إلى البيت الحرام والطواف والسعي - حجة الوداع وما تلاها من أحداث</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4"/>
      <w:rFonts w:cs="Aria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