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السنة يوم النحر أن يرمي ثم ينحر ثم يحلق،ابتداء من الجانب الأيمن-كتاب الحجّ-صحيح مسلم — رقم الحديث: 1305 — الرقم الفرعي: 3 — الرقم الأصلي: 1305</w:t>
        <w:br/>
      </w:r>
      <w:r>
        <w:rPr>
          <w:rtl w:val="1"/>
        </w:rPr>
        <w:t xml:space="preserve"> وحدثنا محمد بن المثنى حدثنا عبد الأعلى حدثنا  هشام عن محمد عن أنس بن مالك</w:t>
        <w:br/>
      </w:r>
      <w:r>
        <w:rPr>
          <w:color w:val="FF0000"/>
          <w:rtl w:val="1"/>
        </w:rPr>
        <w:t xml:space="preserve">أَنَّ رسولَ اللهِ ﷺ رَمَى جَمرَةَ العَقَبَةِ،  </w:t>
      </w:r>
      <w:r>
        <w:rPr>
          <w:color w:val="FF0000"/>
          <w:rtl w:val="1"/>
        </w:rPr>
        <w:t xml:space="preserve">ثمَّ انصَرَفَ إِلى البُدْنِ فنَحَرَها  </w:t>
      </w:r>
      <w:r>
        <w:rPr>
          <w:color w:val="FF0000"/>
          <w:rtl w:val="1"/>
        </w:rPr>
        <w:t xml:space="preserve">والحَجَّامُ جَالِسٌ، وقال: بيَدِه عَن رَأسِهِ، فحَلَقَ شِقَّه الأَيمَنَ فقَسَمَه فيمَن يَلِيهِ، ثُمَّ قال: «احلِقِ الشِّقَّ الآخَرَ» فقَالَ: «أَينَ أَبُو طَلحَةَ؟» فأَعطَاه إِيَّاه. </w:t>
      </w:r>
    </w:p>
    <w:p>
      <w:pPr>
        <w:bidi w:val="1"/>
        <w:jc w:val="start"/>
      </w:pPr>
      <w:r>
        <w:rPr>
          <w:rtl w:val="1"/>
        </w:rPr>
        <w:t>الشرح: الدلالة: التحلل الأصغر - التحلل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