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الماء الذي يغسَل به شعر الإنسان-كتاب الوضوء-صحيح البخاري — رقم الحديث: 170 — الرقم الفرعي: 99 — الرقم الأصلي: 170</w:t>
        <w:br/>
      </w:r>
      <w:r>
        <w:rPr>
          <w:rtl w:val="1"/>
        </w:rPr>
        <w:t xml:space="preserve"> حدثنا مالك بن إسماعيل قال:حدثنا إسرائيل عن عاصم عن ابن سيرين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لعَبِيدةَ: عندَنا مِن شَعَرِ النّبيِّ ﷺ أصَبْناه مِن قِبَلِ أنسٍ - أو مِن قِبَلِ أهلِ أنسٍ -  </w:t>
      </w:r>
      <w:r>
        <w:rPr>
          <w:color w:val="FF0000"/>
          <w:rtl w:val="1"/>
        </w:rPr>
        <w:t xml:space="preserve">فقال: لَأنْ تكونَ عندي شَعَرةٌ منه، أحبُّ إليَّ منَ الدُّنْيا وما فيها.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 xml:space="preserve">الشرح: الدلالة: بركة شعره ﷺ - بركة آثار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