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الورِق بالذهب نسيئةً-كتاب البيوع-صحيح البخاري — رقم الحديث: 2180 — الرقم الفرعي: 99 — الرقم الأصلي: 2180</w:t>
        <w:br/>
      </w:r>
      <w:r>
        <w:rPr>
          <w:rtl w:val="1"/>
        </w:rPr>
        <w:t xml:space="preserve"> حدثنا حفص بن عمر حدثنا شعبة قال:أخبرني حبيب بن أبي ثابت قال:سمعت أبا المنهال</w:t>
        <w:br/>
      </w:r>
      <w:r>
        <w:rPr>
          <w:color w:val="FF0000"/>
          <w:rtl w:val="1"/>
        </w:rPr>
        <w:t xml:space="preserve">قال: سألتُ البَراءَ بنَ عازِبٍ وزيدَ بنَ أرقَمَ، رضي الله عنهم، عن الصَّرْفِ؟  </w:t>
      </w:r>
      <w:r>
        <w:rPr>
          <w:color w:val="000000"/>
          <w:rtl w:val="1"/>
        </w:rPr>
        <w:t xml:space="preserve">فكلُّ واحدٍ منهما يقولُ: هذا خيرٌ منّي،  </w:t>
      </w:r>
      <w:r>
        <w:rPr>
          <w:color w:val="000000"/>
          <w:rtl w:val="1"/>
        </w:rPr>
        <w:t xml:space="preserve">فكِلاهما يقولُ:  </w:t>
      </w:r>
      <w:r>
        <w:rPr>
          <w:color w:val="FF0000"/>
          <w:rtl w:val="1"/>
        </w:rPr>
        <w:t xml:space="preserve">نَهَى رسولُ الله ﷺ عن بيعِ الذَّهَبِ بالوَرِقِ دَينًا. 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علة تحريم الربا في النقدين - علة تحريم الربا</w:t>
      </w:r>
    </w:p>
    <w:p>
      <w:pPr>
        <w:bidi w:val="1"/>
        <w:jc w:val="start"/>
      </w:pPr>
      <w:r>
        <w:rPr>
          <w:rtl w:val="1"/>
        </w:rPr>
        <w:t>الشرح: الدلالة: التقابض في المجلس الواحد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بالآخر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