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48 — الرقم الفرعي: 99 — الرقم الأصلي: 48 — ج: 1 — ص: 9</w:t>
        <w:br/>
      </w:r>
      <w:r>
        <w:rPr>
          <w:rtl w:val="1"/>
        </w:rPr>
        <w:t xml:space="preserve"> حدثنا محمدُ بن جعفرٍ حدثنا شُعبةُ قال:سمعت عثمانَ ملاحظة من آلِ أبي عَقِيلٍ الثقفيِّ ملاحظة إلاّ أنه قالَ: قال شعبة</w:t>
        <w:br/>
      </w:r>
      <w:r>
        <w:rPr>
          <w:color w:val="000000"/>
          <w:rtl w:val="1"/>
        </w:rPr>
        <w:t xml:space="preserve">وَقَرَأَ إِحْدَى هَاتَيْنِ الْآيَتَيْنِ: ﴿مَنْ يَعْمَلْ سُوءًا يُجْزَ بِهِ﴾ [النساء: 123] ، ﴿وَالَّذِينَ إِذَا فَعَلُوا فَاحِشَةً﴾ [آل عمران: 135].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