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8533 — الرقم الفرعي: 99 — الرقم الأصلي: 8328 — ج: 4 — ص: 478</w:t>
        <w:br/>
      </w:r>
      <w:r>
        <w:rPr>
          <w:rtl w:val="1"/>
        </w:rPr>
        <w:t xml:space="preserve"> حدثنا علي بن حَمْشاذَ العَدْل، حدثنا إبراهيم بن الحسين الهَمَذاني، حدثنا عَمرو بن عاصم الكِلَابي، حدثنا أبو العوَّام القطَّان، حدثنا قَتَادة، عن أبي الخليل، عن عبد الله بن الحارث، عن أم سَلَمة قالت: قال رسول الله ﷺ:</w:t>
        <w:br/>
      </w:r>
      <w:r>
        <w:rPr>
          <w:color w:val="FF0000"/>
          <w:rtl w:val="1"/>
        </w:rPr>
        <w:t xml:space="preserve">«يُبايِعُ لرجلٍ من أمتي بين الرُّكْن والمَقام كعِدَّة أهل بَدْر،  </w:t>
      </w:r>
      <w:r>
        <w:rPr>
          <w:color w:val="FF0000"/>
          <w:rtl w:val="1"/>
        </w:rPr>
        <w:t xml:space="preserve">فيأتيه عُصَبُ العراق وأبدالُ الشام،  </w:t>
      </w:r>
      <w:r>
        <w:rPr>
          <w:color w:val="FF0000"/>
          <w:rtl w:val="1"/>
        </w:rPr>
        <w:t xml:space="preserve">فيأتيهم جيشٌ من الشام، حتى إذا كانوا بالبَيداءِ خُسِفَ بهم،  </w:t>
      </w:r>
      <w:r>
        <w:rPr>
          <w:color w:val="FF0000"/>
          <w:rtl w:val="1"/>
        </w:rPr>
        <w:t xml:space="preserve">ثم يسير إليه رجلٌ من قريش أخوالُه كَلْبٌ، فيَهزِمُهم الله».  </w:t>
      </w:r>
      <w:r>
        <w:rPr>
          <w:color w:val="FF0000"/>
          <w:rtl w:val="1"/>
        </w:rPr>
        <w:t xml:space="preserve">قال: وكان يقال: إنَّ الخائبَ يومئذٍ مَن خاب من غَنيمةِ كَلْب. </w:t>
      </w:r>
    </w:p>
    <w:p>
      <w:pPr>
        <w:bidi w:val="1"/>
        <w:jc w:val="start"/>
      </w:pPr>
      <w:r>
        <w:rPr>
          <w:rtl w:val="1"/>
        </w:rPr>
        <w:t xml:space="preserve">درجة الحديث: إسناده ضعيف </w:t>
      </w:r>
    </w:p>
    <w:p>
      <w:pPr>
        <w:bidi w:val="1"/>
        <w:jc w:val="start"/>
      </w:pPr>
      <w:r>
        <w:rPr>
          <w:rtl w:val="1"/>
        </w:rPr>
        <w:t>الشرح: الدلالة: المبحث الثاني: الخسف بالجيش الذي يغزو الكعبة بين المدينة ومكة - الفتن وأشراط الساعة بين يدي العلامات الكبرى</w:t>
      </w:r>
    </w:p>
    <w:p>
      <w:pPr>
        <w:bidi w:val="1"/>
        <w:jc w:val="start"/>
      </w:pPr>
      <w:r>
        <w:rPr>
          <w:rtl w:val="1"/>
        </w:rPr>
        <w:t>الشرح: الدلالة: المبحث الثالث: هزيمة بعث كلب - الفتن وأشراط الساعة بين يدي العلامات الكبرى</w:t>
      </w:r>
    </w:p>
    <w:p>
      <w:pPr>
        <w:bidi w:val="1"/>
        <w:jc w:val="start"/>
      </w:pPr>
      <w:r>
        <w:rPr>
          <w:rtl w:val="1"/>
        </w:rPr>
        <w:t>الشرح: الدلالة: الفصل الأول: المهدي صفاته وأعماله وخروجه وما يصاحبه - أشراط الساعة الكبرى والفتن المتعلقة بها</w:t>
      </w:r>
    </w:p>
    <w:p>
      <w:pPr>
        <w:bidi w:val="1"/>
        <w:jc w:val="start"/>
      </w:pPr>
      <w:r>
        <w:rPr>
          <w:rtl w:val="1"/>
        </w:rPr>
        <w:t>الشرح: الدلالة: الفصل الأول: الطائفة المنصورة الظاهرة على الحق عند وقوع الفتن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