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كيف يكون الرجل في الفتنة-كتاب الفتن-سنن الترمذي — رقم الحديث: 2177 — الرقم الفرعي: 99 — الرقم الأصلي: 2178</w:t>
        <w:br/>
      </w:r>
      <w:r>
        <w:rPr>
          <w:rtl w:val="1"/>
        </w:rPr>
        <w:t xml:space="preserve"> حدثنا عمران بن موسى القزّاز البصريّ حدثنا عبد الوارث بن سعيد حدثنا محمد بن جُحادة عن رجل عن طاووس عن أم مالك البهزيّة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ذَكرَ رسولُ الله ﷺ، فِتنةً فقرَّبها، قالت: قلتُ: يا رسولَ الله، مَن خيرُ النّاسِ فيها؟  </w:t>
      </w:r>
      <w:r>
        <w:rPr>
          <w:color w:val="000000"/>
          <w:rtl w:val="1"/>
        </w:rPr>
        <w:t xml:space="preserve">قال: «رجلٌ في ماشِيَتِه، يؤدِّي حقَّها، ويَعبدُ ربَّه،  </w:t>
      </w:r>
      <w:r>
        <w:rPr>
          <w:color w:val="FF0000"/>
          <w:rtl w:val="1"/>
        </w:rPr>
        <w:t xml:space="preserve">ورجلٌ آخِذٌ برَأسِ فرَسِه، يُخيفُ العدوَّ ويُخوِّفونه». </w:t>
      </w:r>
      <w:r>
        <w:rPr>
          <w:color w:val="000000"/>
          <w:rtl w:val="1"/>
        </w:rPr>
        <w:t xml:space="preserve">وفي الباب عن أُمِّ مُبشِّر، وأَبي سَعيدٍ، وابنِ عبّاس.  </w:t>
      </w:r>
      <w:r>
        <w:rPr>
          <w:color w:val="000000"/>
          <w:rtl w:val="1"/>
        </w:rPr>
        <w:t xml:space="preserve">هذا حديثٌ غريبٌ من هذا الوجه.  </w:t>
      </w:r>
      <w:r>
        <w:rPr>
          <w:color w:val="000000"/>
          <w:rtl w:val="1"/>
        </w:rPr>
        <w:t xml:space="preserve">ورواهُ ليثُ بنُ أَبي سُلَيم، عن طاووس، عن أُمِّ مالكٍ البَهْزِيّةِ، عن النّبيِّ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الثامن: الخروج إلى قتال الكفار اعتزالًا للفتن التي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