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11581 — الرقم الفرعي: 99 — الرقم الأصلي: 11581 — ج: 11 — ص: 230</w:t>
        <w:br/>
      </w:r>
      <w:r>
        <w:rPr>
          <w:rtl w:val="1"/>
        </w:rPr>
        <w:t xml:space="preserve"> حدثنا الحسين بن إسحاق التَّسْتُريّ، حدثنا أبو كُرَيب، حدثنا إبراهيم بن إسماعيل السَّكونيّ، حدثنا إبراهيم بن إسماعيل بن أبي حَبيبة، عن داود بن الحُصين، عن عِكرمة، عن ابن عباس:</w:t>
        <w:br/>
      </w:r>
      <w:r>
        <w:rPr>
          <w:color w:val="FF0000"/>
          <w:rtl w:val="1"/>
        </w:rPr>
        <w:t xml:space="preserve">أنَّ رسولَ الله ﷺ نَهى عن بَيع المَضامِينِ، والمَلاقِيح، وحبَلِ الحَبَلة.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مقدورًا على تسليمه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المضامين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الملاقيح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حبل الحبلة - أن يكون المعقود عليه معدومًا حين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