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نذر نذراً لا يطيقه-كتاب الإيمان والنذور-سنن أبي داود — رقم الحديث: 3322 — الرقم الفرعي: 99 — الرقم الأصلي: 3322</w:t>
        <w:br/>
      </w:r>
      <w:r>
        <w:rPr>
          <w:rtl w:val="1"/>
        </w:rPr>
        <w:t xml:space="preserve"> حدثنا جعفر بن مسافر التنيسيّ عن ابن أبي فديك قال:حدثني طلحة بن يحيى الأنصاريّ عن عبد الله بن سعيد بن أبي هند عن بكير بن عبد الله بن الأشج عن كريب عن ابن عباس أنّ رسول الله صلى الله عليه وسلم</w:t>
        <w:br/>
      </w:r>
      <w:r>
        <w:rPr>
          <w:color w:val="FF0000"/>
          <w:rtl w:val="1"/>
        </w:rPr>
        <w:t xml:space="preserve">قال: «من نذر نذْراً لم يُسمِّه فكفارتُه كفارةُ يمين،  </w:t>
      </w:r>
      <w:r>
        <w:rPr>
          <w:color w:val="FF0000"/>
          <w:rtl w:val="1"/>
        </w:rPr>
        <w:t xml:space="preserve">ومن نذر نذراً في معصيةٍ فكفارتُه كفارةُ يمينٍ،  </w:t>
      </w:r>
      <w:r>
        <w:rPr>
          <w:color w:val="FF0000"/>
          <w:rtl w:val="1"/>
        </w:rPr>
        <w:t xml:space="preserve">ومن نذر نذْراً لا يُطيقُه فكفارتُه كفارةُ يمينٍ،  </w:t>
      </w:r>
      <w:r>
        <w:rPr>
          <w:color w:val="FF0000"/>
          <w:rtl w:val="1"/>
        </w:rPr>
        <w:t xml:space="preserve">ومن نذر نذراً أطاقه فليف به». </w:t>
      </w:r>
      <w:r>
        <w:rPr>
          <w:color w:val="000000"/>
          <w:rtl w:val="1"/>
        </w:rPr>
        <w:t xml:space="preserve">قال أبو داود: روى هذا الحديثَ وكيعٌ وغيرُه عن عبد الله بن سعيد بن أبي هند، أوقفوه على ابن عباس. </w:t>
      </w:r>
    </w:p>
    <w:p>
      <w:pPr>
        <w:bidi w:val="1"/>
        <w:jc w:val="start"/>
      </w:pPr>
      <w:r>
        <w:rPr>
          <w:rtl w:val="1"/>
        </w:rPr>
        <w:t>درجة الحديث: الأصح وقفه</w:t>
      </w:r>
    </w:p>
    <w:p>
      <w:pPr>
        <w:bidi w:val="1"/>
        <w:jc w:val="start"/>
      </w:pPr>
      <w:r>
        <w:rPr>
          <w:rtl w:val="1"/>
        </w:rPr>
        <w:t>الشرح: الدلالة: الضرر يزال</w:t>
      </w:r>
    </w:p>
    <w:p>
      <w:pPr>
        <w:bidi w:val="1"/>
        <w:jc w:val="start"/>
      </w:pPr>
      <w:r>
        <w:rPr>
          <w:rtl w:val="1"/>
        </w:rPr>
        <w:t>الشرح: الدلالة: لا ضرر ولا ضرار - الضرر يزال</w:t>
      </w:r>
    </w:p>
    <w:p>
      <w:pPr>
        <w:bidi w:val="1"/>
        <w:jc w:val="start"/>
      </w:pPr>
      <w:r>
        <w:rPr>
          <w:rtl w:val="1"/>
        </w:rPr>
        <w:t>الشرح: الدلالة: مشروعية النذر والوفاء به - النذور</w:t>
      </w:r>
    </w:p>
    <w:p>
      <w:pPr>
        <w:bidi w:val="1"/>
        <w:jc w:val="start"/>
      </w:pPr>
      <w:r>
        <w:rPr>
          <w:rtl w:val="1"/>
        </w:rPr>
        <w:t>الشرح: الدلالة: كفارة النذر - النذور</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التيسير - المباديء</w:t>
      </w:r>
    </w:p>
    <w:p>
      <w:pPr>
        <w:bidi w:val="1"/>
        <w:jc w:val="start"/>
      </w:pPr>
      <w:r>
        <w:rPr>
          <w:rtl w:val="1"/>
        </w:rPr>
        <w:t>الشرح: الدلالة: اليسر ودفع الحرج</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النذر المطلق - أقسام النذر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