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بدء شأن المنبر-كتاب إقامة الصلاة-سنن ابن ماجة — رقم الحديث: 1414 — الرقم الفرعي: 99 — الرقم الأصلي: 1414</w:t>
        <w:br/>
      </w:r>
      <w:r>
        <w:rPr>
          <w:rtl w:val="1"/>
        </w:rPr>
        <w:t xml:space="preserve"> حدثنا إسماعيل بن عبد الله الرّقّيّ ثنا عبيدالله بن عمرو الرّقّيّ عن عبد الله بن محمد بن عقيل عن الطّفيل بن أبيّ بن كعب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رسولُ الله ﷺ يصلِّي إلى جِذْعٍ إذ كان المسجدُ عَريشًا، وكان يَخطُبُ إلى ذلك الجِذْع،  </w:t>
      </w:r>
      <w:r>
        <w:rPr>
          <w:color w:val="000000"/>
          <w:rtl w:val="1"/>
        </w:rPr>
        <w:t xml:space="preserve">فقال رجلٌ من أَصحابه: هل لكَ أَن نجعلَ لك شَيئًا تقومُ عليه يومَ الجُمُعة، حتَّى يراكَ الناس، وتُسمِعَهُم خُطبَتَك؟ قال: «نعم»  </w:t>
      </w:r>
      <w:r>
        <w:rPr>
          <w:color w:val="000000"/>
          <w:rtl w:val="1"/>
        </w:rPr>
        <w:t xml:space="preserve">فصَنَعَ له ثلاثَ دَرَجات، فهي التي أَعلى المِنبر،  </w:t>
      </w:r>
      <w:r>
        <w:rPr>
          <w:color w:val="000000"/>
          <w:rtl w:val="1"/>
        </w:rPr>
        <w:t xml:space="preserve">فلمّا وُضِعَ المِنبرُ وَضَعوه في مَوضِعِه الذي هو فيه،  </w:t>
      </w:r>
      <w:r>
        <w:rPr>
          <w:color w:val="FF0000"/>
          <w:rtl w:val="1"/>
        </w:rPr>
        <w:t xml:space="preserve">فلمَّا أَرادَ رسولُ الله ﷺ أن يقومَ إلى المِنبَر، مَرَّ إلى الجِذْع الذي كان يَخطُب إليه، فلمّا جاوزَ الجِذْعَ، خارَ حتَّى تصدَّع وانشَقَّ،  </w:t>
      </w:r>
      <w:r>
        <w:rPr>
          <w:color w:val="FF0000"/>
          <w:rtl w:val="1"/>
        </w:rPr>
        <w:t xml:space="preserve">فنزلَ رسولُ الله ﷺ لمّا سَمِعَ صوتَ الجِذْعِ، فمَسَحَه بيَدِه حتَّى سَكَنَ، ثم رَجَعَ إلى المِنبر،  </w:t>
      </w:r>
      <w:r>
        <w:rPr>
          <w:color w:val="FF0000"/>
          <w:rtl w:val="1"/>
        </w:rPr>
        <w:t xml:space="preserve">فكان إذا صلَّى، صلَّى إليه،  </w:t>
      </w:r>
      <w:r>
        <w:rPr>
          <w:color w:val="000000"/>
          <w:rtl w:val="1"/>
        </w:rPr>
        <w:t xml:space="preserve">فلمّا هُدِم المسجدُ وغُيِّر، أَخذَ ذلك الجِذعَ أبيُّ بنُ كعب، وكان عندَه في بيتِه حتَّى بليَ، فأَكَلَته الأرَضَةُ وعادَ رُفاتًا.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بركة يده ﷺ في تسكين الجذع - بركة يده الشريفة ﷺ </w:t>
      </w:r>
    </w:p>
    <w:p>
      <w:pPr>
        <w:bidi w:val="1"/>
        <w:jc w:val="start"/>
      </w:pPr>
      <w:r>
        <w:rPr>
          <w:rtl w:val="1"/>
        </w:rPr>
        <w:t>الشرح: الدلالة: حنين الجذع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