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قال كفارتها تركها-كتاب الكفارات-سنن ابن ماجة — رقم الحديث: 2110 — الرقم الفرعي: 99 — الرقم الأصلي: 2110</w:t>
        <w:br/>
      </w:r>
      <w:r>
        <w:rPr>
          <w:rtl w:val="1"/>
        </w:rPr>
        <w:t xml:space="preserve"> حدثنا عليّ بن محمد ثنا عبد الله بن نُمير عن حارثة بن أبي الرّجال عن عمرة عن عائشة قالت :قال رسول الله صلى الله عليه وسلم</w:t>
        <w:br/>
      </w:r>
      <w:r>
        <w:rPr>
          <w:color w:val="FF0000"/>
          <w:rtl w:val="1"/>
        </w:rPr>
        <w:t xml:space="preserve">«مَن حَلَفَ في قَطيعَةِ رَحِمٍ، أَو فيما لا يَصلُحُ، فبِرُّه أَن لا يُتِمَّ على ذلِكَ».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المحلوف عليه - الأيمان</w:t>
      </w:r>
    </w:p>
    <w:p>
      <w:pPr>
        <w:bidi w:val="1"/>
        <w:jc w:val="start"/>
      </w:pPr>
      <w:r>
        <w:rPr>
          <w:rtl w:val="1"/>
        </w:rPr>
        <w:t>الشرح: الدلالة: الوفاء باليمين - الأيمان</w:t>
      </w:r>
    </w:p>
    <w:p>
      <w:pPr>
        <w:bidi w:val="1"/>
        <w:jc w:val="start"/>
      </w:pPr>
      <w:r>
        <w:rPr>
          <w:rtl w:val="1"/>
        </w:rPr>
        <w:t>الشرح: الدلالة: قطيعة الرحم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