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21171 — الرقم الفرعي: 99 — الرقم الأصلي: 21171 — ج: 5 — ص: 127</w:t>
        <w:br/>
      </w:r>
      <w:r>
        <w:rPr>
          <w:rtl w:val="1"/>
        </w:rPr>
        <w:t xml:space="preserve"> حدثنا يحيى بن سعيد عن إسماعيل بن أبي خالد حدثني عبد الله بن عيسى عن عبد الرحمن بن أبي ليلى عن أبيّ بن كعب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في المسجد، فدخَلَ رجلٌ، فقرأَ قراءةً أنكرتُها عليه،  </w:t>
      </w:r>
      <w:r>
        <w:rPr>
          <w:color w:val="000000"/>
          <w:rtl w:val="1"/>
        </w:rPr>
        <w:t xml:space="preserve">ثم دخَلَ آخرُ، فقَرأَ قراءةً سِوى قراءةِ صاحبِه،  </w:t>
      </w:r>
      <w:r>
        <w:rPr>
          <w:color w:val="000000"/>
          <w:rtl w:val="1"/>
        </w:rPr>
        <w:t xml:space="preserve">فقُمنا جميعًا، فدَخلْنا على رسولِ الله ﷺ، فقلتُ: يا رسولَ الله، إنَّ هذا قرأَ قراءةً أنكرتُها عليه، ثم دخَلَ هذا، فقرأَ قراءةً غيرَ قراءةِ صاحبِه،  </w:t>
      </w:r>
      <w:r>
        <w:rPr>
          <w:color w:val="000000"/>
          <w:rtl w:val="1"/>
        </w:rPr>
        <w:t xml:space="preserve">فقالَ لهما النّبيُّ ﷺ: «اقرَآ». فقرَآ، قال: «أَصَبتُما».  </w:t>
      </w:r>
      <w:r>
        <w:rPr>
          <w:color w:val="000000"/>
          <w:rtl w:val="1"/>
        </w:rPr>
        <w:t xml:space="preserve">فلمّا قال لهما النّبيُّ ﷺ الذي قال، كَبُر عليَّ، ولا إذ كنتُ في الجاهليّة،  </w:t>
      </w:r>
      <w:r>
        <w:rPr>
          <w:color w:val="000000"/>
          <w:rtl w:val="1"/>
        </w:rPr>
        <w:t xml:space="preserve">فلمّا رأى الذي غَشِيني، ضرَبَ في صَدرِي، ففِضتُ عَرَقًا، وكأنّما أَنظرُ إلى الله فرَقًا،  </w:t>
      </w:r>
      <w:r>
        <w:rPr>
          <w:color w:val="000000"/>
          <w:rtl w:val="1"/>
        </w:rPr>
        <w:t xml:space="preserve">فقال: «يا أُبيّ إنَّ ربّي أَرسَلَ إليَّ: أنِ اقرأ القرآنَ على حرْفٍ، فرَدَدْتُ إليه: أن هَوِّن على أُمّتي،  </w:t>
      </w:r>
      <w:r>
        <w:rPr>
          <w:color w:val="000000"/>
          <w:rtl w:val="1"/>
        </w:rPr>
        <w:t xml:space="preserve">فأرسَلَ إليَّ: أنِ اقرأهُ على حَرفَين، فرَددتُ إليه: أنْ هَوِّن على أُمّتي،  </w:t>
      </w:r>
      <w:r>
        <w:rPr>
          <w:color w:val="000000"/>
          <w:rtl w:val="1"/>
        </w:rPr>
        <w:t xml:space="preserve">فأرسَلَ إليّ: أنِ اقرأهُ على سبعةِ أَحرُف،  </w:t>
      </w:r>
      <w:r>
        <w:rPr>
          <w:color w:val="000000"/>
          <w:rtl w:val="1"/>
        </w:rPr>
        <w:t xml:space="preserve">ولكَ بكلِّ رَدّةٍ مَسألةٌ تَسألُنِيها»،  </w:t>
      </w:r>
      <w:r>
        <w:rPr>
          <w:color w:val="000000"/>
          <w:rtl w:val="1"/>
        </w:rPr>
        <w:t xml:space="preserve">قال: «قلتُ: اللَّهمّ اغفِر لأُمّتي، اللَّهمّ اغفِر لأُمّتي،  </w:t>
      </w:r>
      <w:r>
        <w:rPr>
          <w:color w:val="FF0000"/>
          <w:rtl w:val="1"/>
        </w:rPr>
        <w:t xml:space="preserve">وأَخرتُ الثالثةَ ليومٍ يَرغَبُ إليَّ فيه الخَلقُ، حتّى إبراهيم».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استشفاع الناس بالأنبياء والمقام المحمود والشفاعة العظمى للنبي ﷺ - حال الأنبياء في الحشر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