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صفة الإيمان والإسلام-كتاب الايمان وشرائعه-سنن النسائي — رقم الحديث: 4991 — الرقم الفرعي: 99 — الرقم الأصلي: 4991</w:t>
        <w:br/>
      </w:r>
      <w:r>
        <w:rPr>
          <w:rtl w:val="1"/>
        </w:rPr>
        <w:t xml:space="preserve"> أخبرنا محمد بن قدامة عن جرير عن أبي فروة عن أبي زُرعة عن أبي هريرة و أبي ذرّ</w:t>
        <w:br/>
      </w:r>
      <w:r>
        <w:rPr>
          <w:color w:val="000000"/>
          <w:rtl w:val="1"/>
        </w:rPr>
        <w:t xml:space="preserve">قالا:  </w:t>
      </w:r>
      <w:r>
        <w:rPr>
          <w:color w:val="000000"/>
          <w:rtl w:val="1"/>
        </w:rPr>
        <w:t xml:space="preserve">كان رسولُ الله ﷺ يجلسُ بين ظَهرانَيْ أَصحابِه فيجيءُ الغَريبُ، فلا يدري أَيُّهم هو حتَّى يَسألَ،  </w:t>
      </w:r>
      <w:r>
        <w:rPr>
          <w:color w:val="000000"/>
          <w:rtl w:val="1"/>
        </w:rPr>
        <w:t xml:space="preserve">فطلَبنا إلى رسول الله ﷺ أَنْ نَجعلَ له مَجلِسًا يعرفُه الغريبُ إذا أَتاه، فبنينا له دكّانًا من طينٍ كان يجلسُ عليه،  </w:t>
      </w:r>
      <w:r>
        <w:rPr>
          <w:color w:val="FF0000"/>
          <w:rtl w:val="1"/>
        </w:rPr>
        <w:t xml:space="preserve">وإنَّا لجُلوسٌ ورسولُ الله ﷺ في مجلِسِه، إذ أَقبلَ رجُلٌ أَحسنُ الناسِ وجهًا، وأَطيبُ الناسِ ريحًا، كأنَّ ثيابَه لم يمسَّها دَنَسٌ، حتى سلَّم في طرفِ البساطِ،  </w:t>
      </w:r>
      <w:r>
        <w:rPr>
          <w:color w:val="FF0000"/>
          <w:rtl w:val="1"/>
        </w:rPr>
        <w:t xml:space="preserve">فقال: السّلامُ عليك يا محمد، فردَّ عليه السّلامَ، قال: أَدنو يا محمد؟ قال: «ادنُه» فما زالَ يقول: أَدنو؟ مرارًا، ويقول له: «ادْنُ»  </w:t>
      </w:r>
      <w:r>
        <w:rPr>
          <w:color w:val="FF0000"/>
          <w:rtl w:val="1"/>
        </w:rPr>
        <w:t xml:space="preserve">حتى وضع يدَه على رُكبَتَيْ رسولِ الله ﷺ، قال: يا محمد، أَخبِرني ما الإسلام؟  </w:t>
      </w:r>
      <w:r>
        <w:rPr>
          <w:color w:val="FF0000"/>
          <w:rtl w:val="1"/>
        </w:rPr>
        <w:t xml:space="preserve">قال: «الإسلامُ أَن تعبدَ الله ولا تُشرِكَ به شيئًا، وتُقيمَ الصَّلاةَ، وتُؤتِي الزَّكاةَ، وتَحُجَّ البيتَ، وتصومَ رمضانَ»  </w:t>
      </w:r>
      <w:r>
        <w:rPr>
          <w:color w:val="FF0000"/>
          <w:rtl w:val="1"/>
        </w:rPr>
        <w:t xml:space="preserve">قال: إذا فعلتُ ذلك فقد أَسلمتُ؟ قال: «نعم» قال: صَدَقتَ. فلمَّا سَمِعنا قولَ الرجُلِ صَدَقتَ، أَنكرناه.  </w:t>
      </w:r>
      <w:r>
        <w:rPr>
          <w:color w:val="FF0000"/>
          <w:rtl w:val="1"/>
        </w:rPr>
        <w:t xml:space="preserve">قال: يا محمَّدُ، أَخبِرني ما الإيمان؟  </w:t>
      </w:r>
      <w:r>
        <w:rPr>
          <w:color w:val="FF0000"/>
          <w:rtl w:val="1"/>
        </w:rPr>
        <w:t xml:space="preserve">قال: «الإيمانُ باللهِ، وملائكتِه، والكتابِ، والنبيِّينَ، وتؤمنُ بالقَدَر»  </w:t>
      </w:r>
      <w:r>
        <w:rPr>
          <w:color w:val="FF0000"/>
          <w:rtl w:val="1"/>
        </w:rPr>
        <w:t xml:space="preserve">قال: فإذا فعلتُ ذلك فقد آمنتُ؟ قال رسولُ الله ﷺ: «نعم» قال: صدقتَ.  </w:t>
      </w:r>
      <w:r>
        <w:rPr>
          <w:color w:val="FF0000"/>
          <w:rtl w:val="1"/>
        </w:rPr>
        <w:t xml:space="preserve">قال: يا محمَّدُ، أَخبِرني ما الإحسانُ؟  </w:t>
      </w:r>
      <w:r>
        <w:rPr>
          <w:color w:val="FF0000"/>
          <w:rtl w:val="1"/>
        </w:rPr>
        <w:t xml:space="preserve">قال: «أنْ تعبُدَ اللهَ كأنَّك تراه، فإنْ لم تكن تراهُ فإنَّه يَراك» قال: صدقتَ.  </w:t>
      </w:r>
      <w:r>
        <w:rPr>
          <w:color w:val="FF0000"/>
          <w:rtl w:val="1"/>
        </w:rPr>
        <w:t xml:space="preserve">قال: يا محمد أَخبِرني متى الساعةُ؟ قال، فنَكَسَ، فلم يُجِبْه شيئًا، ثم أَعادَ فلم يُجِبه شيئًا، ثم أَعادَ فلم يُجبه شَيئًا، ورَفَع رأسَه، فقال: «ما المسؤولُ عنها بأَعلَمَ مِنَ السَّائِل،  </w:t>
      </w:r>
      <w:r>
        <w:rPr>
          <w:color w:val="FF0000"/>
          <w:rtl w:val="1"/>
        </w:rPr>
        <w:t xml:space="preserve">ولكن لها علاماتٌ تُعرَفُ بها؛ إذا رأيتَ الرِّعاءَ البُهُم يَتطاوَلون في البُنيان،  </w:t>
      </w:r>
      <w:r>
        <w:rPr>
          <w:color w:val="FF0000"/>
          <w:rtl w:val="1"/>
        </w:rPr>
        <w:t xml:space="preserve">ورأيتَ الحُفاةَ العُراةَ مُلوكَ الأرض،  </w:t>
      </w:r>
      <w:r>
        <w:rPr>
          <w:color w:val="FF0000"/>
          <w:rtl w:val="1"/>
        </w:rPr>
        <w:t xml:space="preserve">ورأيتَ المرأةَ تلِدُ ربَّها.  </w:t>
      </w:r>
      <w:r>
        <w:rPr>
          <w:color w:val="FF0000"/>
          <w:rtl w:val="1"/>
        </w:rPr>
        <w:t xml:space="preserve">خمسٌ لا يعلَمُها إلَّا الله: ﴿إِنَّ الله عِنْدَهُ عِلْمُ السَّاعَةِ﴾ إلى قوله ﴿إِنَّ الله عَلِيمٌ خَبِيرٌ﴾ [لقمان: 34]»  </w:t>
      </w:r>
      <w:r>
        <w:rPr>
          <w:color w:val="FF0000"/>
          <w:rtl w:val="1"/>
        </w:rPr>
        <w:t xml:space="preserve">ثم قال: «لا، والذي بعث محمدًا بالحقِّ هدىً وبشيرًا، ما كنتُ بأعلمَ به مِن رجُلٍ مِنكم، وإنَّه لجبريلُ عليه السّلام، نزلَ في صُورةِ دِحْيَةَ الكَلبيِّ».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علمه ﷺ بحقيقة العبودية لله تعالى - معرفة النبي ﷺ بالله تعالى</w:t>
      </w:r>
    </w:p>
    <w:p>
      <w:pPr>
        <w:bidi w:val="1"/>
        <w:jc w:val="start"/>
      </w:pPr>
      <w:r>
        <w:rPr>
          <w:rtl w:val="1"/>
        </w:rPr>
        <w:t>الشرح: الدلالة: المبحث الرابع: كثرة العمران وتطاوله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أدلة توحيد الألوهية - توحيد الألوهية -وحدانية الله تعالى-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