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وقت استحباب الرمي-كتاب الحجّ-صحيح مسلم — رقم الحديث: 1299 — الرقم الفرعي: 2 — الرقم الأصلي: 1299</w:t>
        <w:br/>
      </w:r>
      <w:r>
        <w:rPr>
          <w:rtl w:val="1"/>
        </w:rPr>
        <w:t xml:space="preserve"> وحدثنا أبو بكر بن أبي شيبة حدثنا أبو خالد الأحمر و ابن إدريس عن ابن جريج عن أبي الزبير عن جابر</w:t>
        <w:br/>
      </w:r>
      <w:r>
        <w:rPr>
          <w:color w:val="FF0000"/>
          <w:rtl w:val="1"/>
        </w:rPr>
        <w:t xml:space="preserve">قال: «رَمَى رَسولُ اللهِ ﷺ الجَمرَةَ يَومَ النَّحرِ ضُحًى، وأَمَّا بَعدُ فإِذا زالَتِ الشَّمسُ.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وقت رمي الجمار - رمي الجمار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