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الله تعالى في حال الجنابة،وغيرها-كتاب الحيض-صحيح مسلم — رقم الحديث: 373 — الرقم الفرعي: 99 — الرقم الأصلي: 373</w:t>
        <w:br/>
      </w:r>
      <w:r>
        <w:rPr>
          <w:rtl w:val="1"/>
        </w:rPr>
        <w:t xml:space="preserve"> حدثنا أبو كُريب،محمد بن العلاء و إبراهيم بن موسى قالا:حدثنا ابن أبي زائدة عن أبيه عن خالد بن سلمة عن البَهيّ عن عروة عن عائشة</w:t>
        <w:br/>
      </w:r>
      <w:r>
        <w:rPr>
          <w:color w:val="FF0000"/>
          <w:rtl w:val="1"/>
        </w:rPr>
        <w:t xml:space="preserve">قالت: «كان النبيُّ ﷺ يَذكُرُ اللهَ على كُلِّ أَحيانِه».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همته ﷺ في الذكر والدعاء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كان ﷺ يذكر الله على كل أحيانه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