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16 — الرقم الفرعي: 99 — الرقم الأصلي: 16</w:t>
        <w:br/>
      </w:r>
      <w:r>
        <w:rPr>
          <w:rtl w:val="1"/>
        </w:rPr>
        <w:t xml:space="preserve"> وحدثني عن مالك عن نافع أنّ عبدالله بن عمر بن الخطاب</w:t>
        <w:br/>
      </w:r>
      <w:r>
        <w:rPr>
          <w:color w:val="000000"/>
          <w:rtl w:val="1"/>
        </w:rPr>
        <w:t xml:space="preserve">كان يقول:  </w:t>
      </w:r>
      <w:r>
        <w:rPr>
          <w:color w:val="FF0000"/>
          <w:rtl w:val="1"/>
        </w:rPr>
        <w:t xml:space="preserve">إذا فاتتْكَ الرَّكعةُ فقد فاتتْكَ السَّجْدة. </w:t>
      </w:r>
    </w:p>
    <w:p>
      <w:pPr>
        <w:bidi w:val="1"/>
        <w:jc w:val="start"/>
      </w:pPr>
      <w:r>
        <w:rPr>
          <w:rtl w:val="1"/>
        </w:rPr>
        <w:t>الشرح: الدلالة: حد إدراك الركعة - المسبوق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