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إثم مَن باع حرّاً.-كتاب البيوع-صحيح البخاري — رقم الحديث: 2227 — الرقم الفرعي: 99 — الرقم الأصلي: 2227</w:t>
        <w:br/>
      </w:r>
      <w:r>
        <w:rPr>
          <w:rtl w:val="1"/>
        </w:rPr>
        <w:t xml:space="preserve"> حدثني بشر بن مرحوم حدثنا يحيى بن سليم عن اسماعيل بن أميّة عن سعيد بن أبي سعيد عن أبي هريرة رضي الله عنه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«قال اللهُ: ثلاثةٌ أنا خَصْمُهم يومَ القِيامةِ:  </w:t>
      </w:r>
      <w:r>
        <w:rPr>
          <w:color w:val="000000"/>
          <w:rtl w:val="1"/>
        </w:rPr>
        <w:t xml:space="preserve">رجلٌ أعطَى بي ثمَّ غَدَرَ،  </w:t>
      </w:r>
      <w:r>
        <w:rPr>
          <w:color w:val="FF0000"/>
          <w:rtl w:val="1"/>
        </w:rPr>
        <w:t xml:space="preserve">ورجلٌ باعَ حُرًّا فأكَلَ ثَمَنَه،  </w:t>
      </w:r>
      <w:r>
        <w:rPr>
          <w:color w:val="FF0000"/>
          <w:rtl w:val="1"/>
        </w:rPr>
        <w:t xml:space="preserve">ورجلٌ استأْجَرَ أجِيرًا فاستَوْفَى منه ولم يُعْطِ أجرَه». 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الوفاء بالعهد والوعد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تكريم الانسان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الخيانة والغدر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استعباد الحر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المعاصي المتعلقة بحق العبد - تقسيم المعاصي  بحسب تعلقها بالحق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بيع الحر - أن لا يكون المعقود عليه مالًا</w:t>
      </w:r>
    </w:p>
    <w:p>
      <w:pPr>
        <w:bidi w:val="1"/>
        <w:jc w:val="start"/>
      </w:pPr>
      <w:r>
        <w:rPr>
          <w:rtl w:val="1"/>
        </w:rPr>
        <w:t xml:space="preserve">الشرح: الدلالة: من أركان الإجارة الأجرة - الإجارة </w:t>
      </w:r>
    </w:p>
    <w:p>
      <w:pPr>
        <w:bidi w:val="1"/>
        <w:jc w:val="start"/>
      </w:pPr>
      <w:r>
        <w:rPr>
          <w:rtl w:val="1"/>
        </w:rPr>
        <w:t>الشرح: الدلالة: الأجير والعامل وفضل العمل - من أركان الإجارة العاقدان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