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النافلة قائماً وقاعداً ،وفعل بعض الركعة قائماً *-كتاب صلاة المسافرين وقصرها-صحيح مسلم — رقم الحديث: 730 — الرقم الفرعي: 2 — الرقم الأصلي: 730</w:t>
        <w:br/>
      </w:r>
      <w:r>
        <w:rPr>
          <w:rtl w:val="1"/>
        </w:rPr>
        <w:t xml:space="preserve"> حدثنا قتيبة بن سعيد حدثنا حمّاد عن بُديل و أيوب عن عبد الله بن شَقيق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رسولُ الله ﷺ يصلِّي ليلًا طويلًا،  </w:t>
      </w:r>
      <w:r>
        <w:rPr>
          <w:color w:val="000000"/>
          <w:rtl w:val="1"/>
        </w:rPr>
        <w:t xml:space="preserve">فإذا صلَّى قائمًا، ركَعَ قائمًا،  </w:t>
      </w:r>
      <w:r>
        <w:rPr>
          <w:color w:val="FF0000"/>
          <w:rtl w:val="1"/>
        </w:rPr>
        <w:t xml:space="preserve">وإذا صلَّى قاعدًا، ركَعَ قاعدًا.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الليل قاعدًا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