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أنّ عرفة كلّها موقف-كتاب الحجّ-سنن الترمذي — رقم الحديث: 885 — الرقم الفرعي: 99 — الرقم الأصلي: 885</w:t>
        <w:br/>
      </w:r>
      <w:r>
        <w:rPr>
          <w:rtl w:val="1"/>
        </w:rPr>
        <w:t xml:space="preserve"> حدثنا محمد بن بشّار حدثنا أبو أحمد الزبيريّ حدثنا سفيان عن عبد الرحمن بن الحارث بن عيّاش بن أبي ربيعة عن زيد بن عليّ عن أبيه عن عبيدالله بن أبي رافع عن عليّ بن أبي طالب رضي الله عنه</w:t>
        <w:br/>
      </w:r>
      <w:r>
        <w:rPr>
          <w:color w:val="FF0000"/>
          <w:rtl w:val="1"/>
        </w:rPr>
        <w:t xml:space="preserve">قال: وَقَفَ رسولُ اللّه ﷺ بعرَفةَ، فقال: «هذه عرَفةُ، وهو الموقِفُ، وعرَفةُ كلُّها موقِف».  </w:t>
      </w:r>
      <w:r>
        <w:rPr>
          <w:color w:val="FF0000"/>
          <w:rtl w:val="1"/>
        </w:rPr>
        <w:t xml:space="preserve">ثمَّ أَفاضَ حينَ غرَبَتِ الشَّمسُ، وأَردَفَ أُسامَةَ بنَ زيدٍ، وجعلَ يُشيرُ بيدِه على هِيْنَتِهِ، والنَّاسُ يَضرِبونَ يَمِينًا وشِمالًا، يلتَفِتُ إِليهم، ويقولُ:  </w:t>
      </w:r>
      <w:r>
        <w:rPr>
          <w:color w:val="FF0000"/>
          <w:rtl w:val="1"/>
        </w:rPr>
        <w:t xml:space="preserve">«يا أَيُّها النَّاسُ عليكُمُ السَّكِينة»،  </w:t>
      </w:r>
      <w:r>
        <w:rPr>
          <w:color w:val="FF0000"/>
          <w:rtl w:val="1"/>
        </w:rPr>
        <w:t xml:space="preserve">ثُمَّ أَتى جَمعًا، فصَلَّى بهِم الصَّلاتَينِ جميعًا، فلمَّا أَصبحَ أَتى قُزَحَ فوقفَ عليه، وقال: «هذا قُزَحُ وهو الموقِفُ، وجَمعٌ كلُّها موقِف»،  </w:t>
      </w:r>
      <w:r>
        <w:rPr>
          <w:color w:val="FF0000"/>
          <w:rtl w:val="1"/>
        </w:rPr>
        <w:t xml:space="preserve">ثمَّ أَفاضَ حتَّى انتهى إِلى وادي مُحَسِّرٍ، فقَرَعَ ناقتَه، فخَبَّتْ حَتَّى جاوزَ الواديَ فوقفَ، وأَردَفَ الفضلَ ثُمَّ أَتى الجَمرةَ فرَماها، ثمَّ أَتى المَنحَرَ، فقال:  </w:t>
      </w:r>
      <w:r>
        <w:rPr>
          <w:color w:val="FF0000"/>
          <w:rtl w:val="1"/>
        </w:rPr>
        <w:t xml:space="preserve">«هذا المَنحَرُ ومِنًى كلُّها مَنحَر» ،  </w:t>
      </w:r>
      <w:r>
        <w:rPr>
          <w:color w:val="FF0000"/>
          <w:rtl w:val="1"/>
        </w:rPr>
        <w:t xml:space="preserve">واسْتَفتَتْه جاريةٌ شابَّةٌ من خَثْعَمٍ، فقالت: إِنَّ أَبي شيخٌ كبيرٌ قد أَدرَكَته فريضةُ اللَّهِ في الحَجِّ، أَفيُجزِئُ أَن أَحُجَّ عنه؟ قال: «حُجِّي عن أَبيكِ»،  </w:t>
      </w:r>
      <w:r>
        <w:rPr>
          <w:color w:val="FF0000"/>
          <w:rtl w:val="1"/>
        </w:rPr>
        <w:t xml:space="preserve">قال: ولَوَى عُنُقَ الفَضلِ، فقال العَبَّاسُ: يا رسولَ اللَّه، لِمَ لَوَيتَ عُنُقَ ابنِ عمِّكَ؟ قال: «رأَيتُ شابًّا وشابَّةً فلم آمَن الشَّيطانَ عليهما» ،  </w:t>
      </w:r>
      <w:r>
        <w:rPr>
          <w:color w:val="FF0000"/>
          <w:rtl w:val="1"/>
        </w:rPr>
        <w:t xml:space="preserve">ثمَّ أَتاه رجلٌ، فقال: يا رَسولَ اللَّه، إِنِّي أَفَضتُ قبلَ أَن أَحلِقَ، قال: «احلِق، أَو قَصِّر ولا حَرَجَ» ،  </w:t>
      </w:r>
      <w:r>
        <w:rPr>
          <w:color w:val="FF0000"/>
          <w:rtl w:val="1"/>
        </w:rPr>
        <w:t xml:space="preserve">قال: وجاء آخَرُ، فقال: يا رسولَ اللَّه، إِنِّي ذَبَحتُ قبلَ أَن أَرمِيَ، قال: «ارمِ ولا حرَجَ»،  </w:t>
      </w:r>
      <w:r>
        <w:rPr>
          <w:color w:val="FF0000"/>
          <w:rtl w:val="1"/>
        </w:rPr>
        <w:t xml:space="preserve">قال: ثُمَّ أَتَى البَيتَ فطافَ به،  </w:t>
      </w:r>
      <w:r>
        <w:rPr>
          <w:color w:val="FF0000"/>
          <w:rtl w:val="1"/>
        </w:rPr>
        <w:t xml:space="preserve">ثمَّ أَتى زَمزَمَ، فقال: «يا بَني عبدِ المُطَّلبِ، لولا أَن يَغلِبَكُم النَّاسُ عنه لَنزَعتُ».  </w:t>
      </w:r>
      <w:r>
        <w:rPr>
          <w:color w:val="000000"/>
          <w:rtl w:val="1"/>
        </w:rPr>
        <w:t xml:space="preserve">وفي البابِ عن جابِرٍ.  </w:t>
      </w:r>
      <w:r>
        <w:rPr>
          <w:color w:val="000000"/>
          <w:rtl w:val="1"/>
        </w:rPr>
        <w:t xml:space="preserve">حديثُ عليٍّ حديثٌ حسَنٌ صحيح.  </w:t>
      </w:r>
      <w:r>
        <w:rPr>
          <w:color w:val="000000"/>
          <w:rtl w:val="1"/>
        </w:rPr>
        <w:t xml:space="preserve">لا نَعرفُه من حديثِ عليٍّ إِلَّا من هذا الوَجهِ من حديثِ عبدِ الرَّحمنِ بنِ الحارِثِ بنِ عيَّاشٍ. وقد رواه غَيرُ واحِدٍ عن الثَّوريِّ مِثلَ هذا.  </w:t>
      </w:r>
      <w:r>
        <w:rPr>
          <w:color w:val="000000"/>
          <w:rtl w:val="1"/>
        </w:rPr>
        <w:t xml:space="preserve">والعملُ على هذا عندَ أَهلِ العِلمِ، رأَوا أَن يُجمَعَ بينَ الظُّهرِ والعصرِ بعرفَةَ في وقتِ الظُّهرِ، وقال بعضُ أَهلِ العلمِ: إِذا صَلَّى الرَّجلُ في رَحلِه ولم يَشهَد الصَّلاةَ مع الإمامِ إِن شاءَ جَمَعَ هو بينَ الصَّلاتَينِ مِثلَما صَنَعَ الإمامُ.  </w:t>
      </w:r>
      <w:r>
        <w:rPr>
          <w:color w:val="000000"/>
          <w:rtl w:val="1"/>
        </w:rPr>
        <w:t xml:space="preserve">وزَيدُ بنُ عليٍّ، هو ابنُ حُسين بنِ عليِّ بنِ أَبي طالبٍ. </w:t>
      </w:r>
    </w:p>
    <w:p>
      <w:pPr>
        <w:bidi w:val="1"/>
        <w:jc w:val="start"/>
      </w:pPr>
      <w:r>
        <w:rPr>
          <w:rtl w:val="1"/>
        </w:rPr>
        <w:t>درجة الحديث: إسناده حسن</w:t>
      </w:r>
    </w:p>
    <w:p>
      <w:pPr>
        <w:bidi w:val="1"/>
        <w:jc w:val="start"/>
      </w:pPr>
      <w:r>
        <w:rPr>
          <w:rtl w:val="1"/>
        </w:rPr>
        <w:t>الشرح: الدلالة: حج النبي صلى الله عليه وسلم - الحج والعمرة</w:t>
      </w:r>
    </w:p>
    <w:p>
      <w:pPr>
        <w:bidi w:val="1"/>
        <w:jc w:val="start"/>
      </w:pPr>
      <w:r>
        <w:rPr>
          <w:rtl w:val="1"/>
        </w:rPr>
        <w:t>الشرح: الدلالة: الحج والعمرة عن الغير - قضاء الحج والحج عن الغير</w:t>
      </w:r>
    </w:p>
    <w:p>
      <w:pPr>
        <w:bidi w:val="1"/>
        <w:jc w:val="start"/>
      </w:pPr>
      <w:r>
        <w:rPr>
          <w:rtl w:val="1"/>
        </w:rPr>
        <w:t>الشرح: الدلالة: الأمر بالمعروف والنهي عن المنكر - القيم والأخلاق المحمودة - القيم والأخلاق المحمودة</w:t>
      </w:r>
    </w:p>
    <w:p>
      <w:pPr>
        <w:bidi w:val="1"/>
        <w:jc w:val="start"/>
      </w:pPr>
      <w:r>
        <w:rPr>
          <w:rtl w:val="1"/>
        </w:rPr>
        <w:t>الشرح: الدلالة: آداب الدعوة والأمر بالمعروف والنهي عن المنكر - الآداب الاجتماعية</w:t>
      </w:r>
    </w:p>
    <w:p>
      <w:pPr>
        <w:bidi w:val="1"/>
        <w:jc w:val="start"/>
      </w:pPr>
      <w:r>
        <w:rPr>
          <w:rtl w:val="1"/>
        </w:rPr>
        <w:t>الشرح: الدلالة: حسن صحيح - الصحيح</w:t>
      </w:r>
    </w:p>
    <w:p>
      <w:pPr>
        <w:bidi w:val="1"/>
        <w:jc w:val="start"/>
      </w:pPr>
      <w:r>
        <w:rPr>
          <w:rtl w:val="1"/>
        </w:rPr>
        <w:t>الشرح: الدلالة: التيسير - المباديء</w:t>
      </w:r>
    </w:p>
    <w:p>
      <w:pPr>
        <w:bidi w:val="1"/>
        <w:jc w:val="start"/>
      </w:pPr>
      <w:r>
        <w:rPr>
          <w:rtl w:val="1"/>
        </w:rPr>
        <w:t>الشرح: الدلالة: اليسر ودفع الحرج</w:t>
      </w:r>
    </w:p>
    <w:p>
      <w:pPr>
        <w:bidi w:val="1"/>
        <w:jc w:val="start"/>
      </w:pPr>
      <w:r>
        <w:rPr>
          <w:rtl w:val="1"/>
        </w:rPr>
        <w:t>الشرح: الدلالة: التحبب والتودد والرحمة</w:t>
      </w:r>
    </w:p>
    <w:p>
      <w:pPr>
        <w:bidi w:val="1"/>
        <w:jc w:val="start"/>
      </w:pPr>
      <w:r>
        <w:rPr>
          <w:rtl w:val="1"/>
        </w:rPr>
        <w:t>الشرح: الدلالة: الأمر بالمعروف والنهي عن المنكر - تقديم الخدمات العامة</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التاريخ والسير والعلوم الاجتماعية - المحتوى (المواد التعليمية)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التعليم بالعمل والممارسة - الأساليب التعليمية</w:t>
      </w:r>
    </w:p>
    <w:p>
      <w:pPr>
        <w:bidi w:val="1"/>
        <w:jc w:val="start"/>
      </w:pPr>
      <w:r>
        <w:rPr>
          <w:rtl w:val="1"/>
        </w:rPr>
        <w:t>الشرح: الدلالة: توظيف الأدوات والمواد البيئية المختلفة - الوسائل التعليمية</w:t>
      </w:r>
    </w:p>
    <w:p>
      <w:pPr>
        <w:bidi w:val="1"/>
        <w:jc w:val="start"/>
      </w:pPr>
      <w:r>
        <w:rPr>
          <w:rtl w:val="1"/>
        </w:rPr>
        <w:t>الشرح: الدلالة: تعديل السلوك - أساليب التقويم</w:t>
      </w:r>
    </w:p>
    <w:p>
      <w:pPr>
        <w:bidi w:val="1"/>
        <w:jc w:val="start"/>
      </w:pPr>
      <w:r>
        <w:rPr>
          <w:rtl w:val="1"/>
        </w:rPr>
        <w:t>الشرح: الدلالة: الرخص للمسن - الأخذ بالرخص</w:t>
      </w:r>
    </w:p>
    <w:p>
      <w:pPr>
        <w:bidi w:val="1"/>
        <w:jc w:val="start"/>
      </w:pPr>
      <w:r>
        <w:rPr>
          <w:rtl w:val="1"/>
        </w:rPr>
        <w:t>الشرح: الدلالة: قاعدة التيسير  والتبشير وعدم التنفير</w:t>
      </w:r>
    </w:p>
    <w:p>
      <w:pPr>
        <w:bidi w:val="1"/>
        <w:jc w:val="start"/>
      </w:pPr>
      <w:r>
        <w:rPr>
          <w:rtl w:val="1"/>
        </w:rPr>
        <w:t>الشرح: الدلالة: المنكرات المتعلقة بالعقائد والعبادات والمساجد</w:t>
      </w:r>
    </w:p>
    <w:p>
      <w:pPr>
        <w:bidi w:val="1"/>
        <w:jc w:val="start"/>
      </w:pPr>
      <w:r>
        <w:rPr>
          <w:rtl w:val="1"/>
        </w:rPr>
        <w:t>الشرح: الدلالة: تغيير المنكر باليد</w:t>
      </w:r>
    </w:p>
    <w:p>
      <w:pPr>
        <w:bidi w:val="1"/>
        <w:jc w:val="start"/>
      </w:pPr>
      <w:r>
        <w:rPr>
          <w:rtl w:val="1"/>
        </w:rPr>
        <w:t>الشرح: الدلالة: تغيير المنكر باللسان</w:t>
      </w:r>
    </w:p>
    <w:p>
      <w:pPr>
        <w:bidi w:val="1"/>
        <w:jc w:val="start"/>
      </w:pPr>
      <w:r>
        <w:rPr>
          <w:rtl w:val="1"/>
        </w:rPr>
        <w:t>الشرح: الدلالة: الإفاضة من عرفة - الوقوف بعرفة</w:t>
      </w:r>
    </w:p>
    <w:p>
      <w:pPr>
        <w:bidi w:val="1"/>
        <w:jc w:val="start"/>
      </w:pPr>
      <w:r>
        <w:rPr>
          <w:rtl w:val="1"/>
        </w:rPr>
        <w:t>الشرح: الدلالة: ترتيب المناسك يوم النحر - أيام منى والمبيت فيها</w:t>
      </w:r>
    </w:p>
    <w:p>
      <w:pPr>
        <w:bidi w:val="1"/>
        <w:jc w:val="start"/>
      </w:pPr>
      <w:r>
        <w:rPr>
          <w:rtl w:val="1"/>
        </w:rPr>
        <w:t>الشرح: الدلالة: وقت نحر الهدي ومكانه - الهدي</w:t>
      </w:r>
    </w:p>
    <w:p>
      <w:pPr>
        <w:bidi w:val="1"/>
        <w:jc w:val="start"/>
      </w:pPr>
      <w:r>
        <w:rPr>
          <w:rtl w:val="1"/>
        </w:rPr>
        <w:t>الشرح: الدلالة: الجمع بين المغرب والعشاء في مزدلفة - المبيت بمزدلفة</w:t>
      </w:r>
    </w:p>
    <w:p>
      <w:pPr>
        <w:bidi w:val="1"/>
        <w:jc w:val="start"/>
      </w:pPr>
      <w:r>
        <w:rPr>
          <w:rtl w:val="1"/>
        </w:rPr>
        <w:t>الشرح: الدلالة: حدود مزدلفة - المبيت بمزدلفة</w:t>
      </w:r>
    </w:p>
    <w:p>
      <w:pPr>
        <w:bidi w:val="1"/>
        <w:jc w:val="start"/>
      </w:pPr>
      <w:r>
        <w:rPr>
          <w:rtl w:val="1"/>
        </w:rPr>
        <w:t>الشرح: الدلالة: مشروعية المبيت بمزدلفة - المبيت بمزدلفة</w:t>
      </w:r>
    </w:p>
    <w:p>
      <w:pPr>
        <w:bidi w:val="1"/>
        <w:jc w:val="start"/>
      </w:pPr>
      <w:r>
        <w:rPr>
          <w:rtl w:val="1"/>
        </w:rPr>
        <w:t>الشرح: الدلالة: مدة المكث في مزدلفة - المبيت بمزدلفة</w:t>
      </w:r>
    </w:p>
    <w:p>
      <w:pPr>
        <w:bidi w:val="1"/>
        <w:jc w:val="start"/>
      </w:pPr>
      <w:r>
        <w:rPr>
          <w:rtl w:val="1"/>
        </w:rPr>
        <w:t>الشرح: الدلالة: قيمة تذوُّق جمال المرأة - قيم تذوق الجمال</w:t>
      </w:r>
    </w:p>
    <w:p>
      <w:pPr>
        <w:bidi w:val="1"/>
        <w:jc w:val="start"/>
      </w:pPr>
      <w:r>
        <w:rPr>
          <w:rtl w:val="1"/>
        </w:rPr>
        <w:t>الشرح: الدلالة: مكان الوقوف بعرفة - الوقوف بعرفة</w:t>
      </w:r>
    </w:p>
    <w:p>
      <w:pPr>
        <w:bidi w:val="1"/>
        <w:jc w:val="start"/>
      </w:pPr>
      <w:r>
        <w:rPr>
          <w:rtl w:val="1"/>
        </w:rPr>
        <w:t>الشرح: الدلالة: قضاء الحج - قضاء الحج والحج عن الغير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