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2049 — الرقم الفرعي: 99 — الرقم الأصلي: 2049</w:t>
        <w:br/>
      </w:r>
      <w:r>
        <w:rPr>
          <w:rtl w:val="1"/>
        </w:rPr>
        <w:t xml:space="preserve"> حدثنا أسباط حدثنا أبو إسحاق الشيبانيّ عن حمّاد عن إبراهيم عن  ابن عباس قال:قال رسول الله صلى الله عليه وسلم</w:t>
        <w:br/>
      </w:r>
      <w:r>
        <w:rPr>
          <w:color w:val="000000"/>
          <w:rtl w:val="1"/>
        </w:rPr>
        <w:t xml:space="preserve">«إِذا أَرسَلتَ الكَلبَ، فأَكَلَ مِن الصَّيدِ، فلا تَأكُل، فإنَّما أَمسَكَ على نَفسِه، وإِذا أَرسَلتَه، فقَتَلَ ولَم يَأكُل، فكُل فإِنَّما أَمسَكَ على صَاحِبِه.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شرط الأكل من صيد الكلب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