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اختلاف الناقلين لخبر حفصة في ذلك-كتاب الصيام-سنن النسائي — رقم الحديث: 2342 — الرقم الفرعي: 99 — الرقم الأصلي: 2342</w:t>
        <w:br/>
      </w:r>
      <w:r>
        <w:rPr>
          <w:rtl w:val="1"/>
        </w:rPr>
        <w:t xml:space="preserve"> أخبرنا محمد بن عبد الأعلى قال:حدثنا المُعتمر قال:سمعت عبيدالله عن نافع عن ابن عمر</w:t>
        <w:br/>
      </w:r>
      <w:r>
        <w:rPr>
          <w:color w:val="FF0000"/>
          <w:rtl w:val="1"/>
        </w:rPr>
        <w:t xml:space="preserve">قال: إذا لم يُجمِع الرّجُلُ الصّومَ مِن الليل فلا يَصُمْ.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النية للصيام - أركان الصيام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