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اختلاف الناقلين لخبر حفصة في ذلك-كتاب الصيام-سنن النسائي — رقم الحديث: 2341 — الرقم الفرعي: 99 — الرقم الأصلي: 2341</w:t>
        <w:br/>
      </w:r>
      <w:r>
        <w:rPr>
          <w:rtl w:val="1"/>
        </w:rPr>
        <w:t xml:space="preserve"> قال: قال الحارث بن مسكين ملاحظة قراءة عليه وأنا أسمع عن ابن القاسم قال:حدثني مالك عن ابن شهاب عن عائشة و حفصة</w:t>
        <w:br/>
      </w:r>
      <w:r>
        <w:rPr>
          <w:color w:val="FF0000"/>
          <w:rtl w:val="1"/>
        </w:rPr>
        <w:t xml:space="preserve">مثله لا يصومُ إلاّ مَن أجمَعَ الصّيامَ قَبل الفجرِ.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النية للصيام - أركان الصيام</w:t>
      </w:r>
    </w:p>
    <w:p>
      <w:pPr>
        <w:bidi w:val="1"/>
        <w:jc w:val="start"/>
      </w:pPr>
      <w:r>
        <w:rPr>
          <w:rtl w:val="1"/>
        </w:rPr>
        <w:t>الشرح: الدلالة: العرض - طرق تحمل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